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BD177" w14:textId="59D3EE37" w:rsidR="00461228" w:rsidRPr="00D63958" w:rsidRDefault="00461228" w:rsidP="00C20DF7">
      <w:pPr>
        <w:spacing w:after="0" w:line="276" w:lineRule="auto"/>
        <w:jc w:val="both"/>
        <w:rPr>
          <w:rFonts w:asciiTheme="majorBidi" w:hAnsiTheme="majorBidi" w:cstheme="majorBidi"/>
          <w:sz w:val="24"/>
          <w:szCs w:val="24"/>
        </w:rPr>
      </w:pPr>
    </w:p>
    <w:p w14:paraId="53F91BD0" w14:textId="28B1E361" w:rsidR="00E853BA" w:rsidRDefault="00E853BA" w:rsidP="00C20DF7">
      <w:pPr>
        <w:spacing w:after="0" w:line="276" w:lineRule="auto"/>
        <w:jc w:val="both"/>
        <w:rPr>
          <w:rFonts w:asciiTheme="majorBidi" w:hAnsiTheme="majorBidi" w:cstheme="majorBidi"/>
          <w:b/>
          <w:bCs/>
          <w:sz w:val="26"/>
          <w:szCs w:val="26"/>
        </w:rPr>
      </w:pPr>
    </w:p>
    <w:p w14:paraId="5CF73EE5" w14:textId="3ED9852F" w:rsidR="00C20DF7" w:rsidRDefault="00DA4F27" w:rsidP="007638A3">
      <w:pPr>
        <w:spacing w:after="0" w:line="276" w:lineRule="auto"/>
        <w:jc w:val="center"/>
        <w:rPr>
          <w:rFonts w:asciiTheme="majorBidi" w:hAnsiTheme="majorBidi" w:cstheme="majorBidi"/>
          <w:b/>
          <w:bCs/>
          <w:sz w:val="26"/>
          <w:szCs w:val="26"/>
        </w:rPr>
      </w:pPr>
      <w:r w:rsidRPr="00E853BA">
        <w:rPr>
          <w:rFonts w:asciiTheme="majorBidi" w:hAnsiTheme="majorBidi" w:cstheme="majorBidi"/>
          <w:b/>
          <w:bCs/>
          <w:sz w:val="26"/>
          <w:szCs w:val="26"/>
        </w:rPr>
        <w:t xml:space="preserve">Economic </w:t>
      </w:r>
      <w:r w:rsidR="007638A3">
        <w:rPr>
          <w:rFonts w:asciiTheme="majorBidi" w:hAnsiTheme="majorBidi" w:cstheme="majorBidi"/>
          <w:b/>
          <w:bCs/>
          <w:sz w:val="26"/>
          <w:szCs w:val="26"/>
        </w:rPr>
        <w:t>Cooperation</w:t>
      </w:r>
      <w:r w:rsidRPr="00E853BA">
        <w:rPr>
          <w:rFonts w:asciiTheme="majorBidi" w:hAnsiTheme="majorBidi" w:cstheme="majorBidi"/>
          <w:b/>
          <w:bCs/>
          <w:sz w:val="26"/>
          <w:szCs w:val="26"/>
        </w:rPr>
        <w:t xml:space="preserve"> between the UAE and Japan</w:t>
      </w:r>
    </w:p>
    <w:p w14:paraId="5AEA7838" w14:textId="3FA0399C" w:rsidR="00B83234" w:rsidRDefault="00B83234" w:rsidP="00B83234">
      <w:pPr>
        <w:spacing w:after="0" w:line="276" w:lineRule="auto"/>
        <w:jc w:val="both"/>
        <w:rPr>
          <w:rFonts w:asciiTheme="majorBidi" w:hAnsiTheme="majorBidi" w:cstheme="majorBidi"/>
          <w:sz w:val="26"/>
          <w:szCs w:val="26"/>
        </w:rPr>
      </w:pPr>
    </w:p>
    <w:p w14:paraId="69026839" w14:textId="184C1E62" w:rsidR="003C3383" w:rsidRPr="005B63B3" w:rsidRDefault="003C3383" w:rsidP="005B63B3">
      <w:pPr>
        <w:pStyle w:val="ListParagraph"/>
        <w:numPr>
          <w:ilvl w:val="0"/>
          <w:numId w:val="20"/>
        </w:numPr>
        <w:spacing w:after="0" w:line="360" w:lineRule="auto"/>
        <w:jc w:val="both"/>
        <w:rPr>
          <w:rFonts w:asciiTheme="majorBidi" w:hAnsiTheme="majorBidi" w:cstheme="majorBidi"/>
          <w:sz w:val="24"/>
          <w:szCs w:val="24"/>
        </w:rPr>
      </w:pPr>
      <w:r w:rsidRPr="005B63B3">
        <w:rPr>
          <w:rFonts w:asciiTheme="majorBidi" w:hAnsiTheme="majorBidi" w:cstheme="majorBidi"/>
          <w:sz w:val="24"/>
          <w:szCs w:val="24"/>
        </w:rPr>
        <w:t xml:space="preserve">The UAE and Japan share a long history of close </w:t>
      </w:r>
      <w:r w:rsidR="007638A3" w:rsidRPr="005B63B3">
        <w:rPr>
          <w:rFonts w:asciiTheme="majorBidi" w:hAnsiTheme="majorBidi" w:cstheme="majorBidi"/>
          <w:sz w:val="24"/>
          <w:szCs w:val="24"/>
        </w:rPr>
        <w:t>economic</w:t>
      </w:r>
      <w:r w:rsidRPr="005B63B3">
        <w:rPr>
          <w:rFonts w:asciiTheme="majorBidi" w:hAnsiTheme="majorBidi" w:cstheme="majorBidi"/>
          <w:sz w:val="24"/>
          <w:szCs w:val="24"/>
        </w:rPr>
        <w:t xml:space="preserve"> relations, which is amply reflected by cordial ties between the two countries. </w:t>
      </w:r>
    </w:p>
    <w:p w14:paraId="47A1818A" w14:textId="77777777" w:rsidR="005B63B3" w:rsidRDefault="003C3383" w:rsidP="005B63B3">
      <w:pPr>
        <w:pStyle w:val="ListParagraph"/>
        <w:numPr>
          <w:ilvl w:val="0"/>
          <w:numId w:val="20"/>
        </w:numPr>
        <w:spacing w:after="0" w:line="360" w:lineRule="auto"/>
        <w:jc w:val="both"/>
        <w:rPr>
          <w:rFonts w:asciiTheme="majorBidi" w:hAnsiTheme="majorBidi" w:cstheme="majorBidi"/>
          <w:sz w:val="24"/>
          <w:szCs w:val="24"/>
        </w:rPr>
      </w:pPr>
      <w:r w:rsidRPr="005B63B3">
        <w:rPr>
          <w:rFonts w:asciiTheme="majorBidi" w:hAnsiTheme="majorBidi" w:cstheme="majorBidi"/>
          <w:sz w:val="24"/>
          <w:szCs w:val="24"/>
        </w:rPr>
        <w:t xml:space="preserve">Since the 1970s relations between the UAE and Japan have revolved around the economic diplomacy when Osaka Expo 1970 was the first time hosted by Japan. The UAE pavilion was designed with a replica of an Al Ain fort which provided the most popularity among visitors. </w:t>
      </w:r>
    </w:p>
    <w:p w14:paraId="1C65334B" w14:textId="2CD0217D" w:rsidR="003C3383" w:rsidRPr="005B63B3" w:rsidRDefault="003C3383" w:rsidP="005B63B3">
      <w:pPr>
        <w:pStyle w:val="ListParagraph"/>
        <w:numPr>
          <w:ilvl w:val="0"/>
          <w:numId w:val="20"/>
        </w:numPr>
        <w:spacing w:after="0" w:line="360" w:lineRule="auto"/>
        <w:jc w:val="both"/>
        <w:rPr>
          <w:rFonts w:asciiTheme="majorBidi" w:hAnsiTheme="majorBidi" w:cstheme="majorBidi"/>
          <w:sz w:val="24"/>
          <w:szCs w:val="24"/>
        </w:rPr>
      </w:pPr>
      <w:r w:rsidRPr="005B63B3">
        <w:rPr>
          <w:rFonts w:asciiTheme="majorBidi" w:hAnsiTheme="majorBidi" w:cstheme="majorBidi"/>
          <w:sz w:val="24"/>
          <w:szCs w:val="24"/>
        </w:rPr>
        <w:t xml:space="preserve">The dreams and ambitions achieved far more than Expo when the visitors enjoyed “Arabic coffee” served by the UAE delegation. It was the turning point in friendship relations connecting people and culture of two great nations. </w:t>
      </w:r>
    </w:p>
    <w:p w14:paraId="36197C49" w14:textId="02FD21D1" w:rsidR="00B83234" w:rsidRPr="005B63B3" w:rsidRDefault="000314AF" w:rsidP="005B63B3">
      <w:pPr>
        <w:pStyle w:val="ListParagraph"/>
        <w:numPr>
          <w:ilvl w:val="0"/>
          <w:numId w:val="20"/>
        </w:numPr>
        <w:spacing w:after="0" w:line="360" w:lineRule="auto"/>
        <w:jc w:val="both"/>
        <w:rPr>
          <w:rFonts w:asciiTheme="majorBidi" w:hAnsiTheme="majorBidi" w:cstheme="majorBidi"/>
          <w:sz w:val="24"/>
          <w:szCs w:val="24"/>
        </w:rPr>
      </w:pPr>
      <w:r w:rsidRPr="005B63B3">
        <w:rPr>
          <w:rFonts w:asciiTheme="majorBidi" w:hAnsiTheme="majorBidi" w:cstheme="majorBidi"/>
          <w:sz w:val="24"/>
          <w:szCs w:val="24"/>
        </w:rPr>
        <w:t xml:space="preserve">Nowadays, economic cooperation is diversifying </w:t>
      </w:r>
      <w:r w:rsidR="001C47E5" w:rsidRPr="005B63B3">
        <w:rPr>
          <w:rFonts w:asciiTheme="majorBidi" w:hAnsiTheme="majorBidi" w:cstheme="majorBidi"/>
          <w:sz w:val="24"/>
          <w:szCs w:val="24"/>
        </w:rPr>
        <w:t>further into non-energy sectors, enhancing trade, investments and business</w:t>
      </w:r>
      <w:r w:rsidRPr="005B63B3">
        <w:rPr>
          <w:rFonts w:asciiTheme="majorBidi" w:hAnsiTheme="majorBidi" w:cstheme="majorBidi"/>
          <w:sz w:val="24"/>
          <w:szCs w:val="24"/>
        </w:rPr>
        <w:t xml:space="preserve"> such as renewables, tourism, space, medical service, advanced technology</w:t>
      </w:r>
      <w:r w:rsidR="001C47E5" w:rsidRPr="005B63B3">
        <w:rPr>
          <w:rFonts w:asciiTheme="majorBidi" w:hAnsiTheme="majorBidi" w:cstheme="majorBidi"/>
          <w:sz w:val="24"/>
          <w:szCs w:val="24"/>
        </w:rPr>
        <w:t xml:space="preserve"> and robotics,</w:t>
      </w:r>
      <w:r w:rsidRPr="005B63B3">
        <w:rPr>
          <w:rFonts w:asciiTheme="majorBidi" w:hAnsiTheme="majorBidi" w:cstheme="majorBidi"/>
          <w:sz w:val="24"/>
          <w:szCs w:val="24"/>
        </w:rPr>
        <w:t xml:space="preserve"> environment and climate change</w:t>
      </w:r>
      <w:r w:rsidR="001C47E5" w:rsidRPr="005B63B3">
        <w:rPr>
          <w:rFonts w:asciiTheme="majorBidi" w:hAnsiTheme="majorBidi" w:cstheme="majorBidi"/>
          <w:sz w:val="24"/>
          <w:szCs w:val="24"/>
        </w:rPr>
        <w:t>.</w:t>
      </w:r>
    </w:p>
    <w:p w14:paraId="47FC0919" w14:textId="31968E3A" w:rsidR="00C20DF7" w:rsidRDefault="00C20DF7" w:rsidP="00C20DF7">
      <w:pPr>
        <w:spacing w:after="0" w:line="276" w:lineRule="auto"/>
        <w:jc w:val="both"/>
        <w:rPr>
          <w:rFonts w:asciiTheme="majorBidi" w:hAnsiTheme="majorBidi" w:cstheme="majorBidi"/>
          <w:sz w:val="24"/>
          <w:szCs w:val="24"/>
        </w:rPr>
      </w:pPr>
    </w:p>
    <w:p w14:paraId="1089F8E2" w14:textId="77777777" w:rsidR="00B83234" w:rsidRPr="00BE6F27" w:rsidRDefault="00B83234" w:rsidP="00B83234">
      <w:pPr>
        <w:jc w:val="center"/>
        <w:rPr>
          <w:rFonts w:asciiTheme="majorBidi" w:hAnsiTheme="majorBidi" w:cstheme="majorBidi"/>
          <w:b/>
          <w:bCs/>
          <w:sz w:val="26"/>
          <w:szCs w:val="26"/>
        </w:rPr>
      </w:pPr>
      <w:r w:rsidRPr="00BE6F27">
        <w:rPr>
          <w:rFonts w:asciiTheme="majorBidi" w:hAnsiTheme="majorBidi" w:cstheme="majorBidi"/>
          <w:b/>
          <w:bCs/>
          <w:sz w:val="26"/>
          <w:szCs w:val="26"/>
        </w:rPr>
        <w:t>Japan’</w:t>
      </w:r>
      <w:r>
        <w:rPr>
          <w:rFonts w:asciiTheme="majorBidi" w:hAnsiTheme="majorBidi" w:cstheme="majorBidi"/>
          <w:b/>
          <w:bCs/>
          <w:sz w:val="26"/>
          <w:szCs w:val="26"/>
        </w:rPr>
        <w:t xml:space="preserve">s Export and Import with UAE </w:t>
      </w:r>
      <w:r w:rsidRPr="004C7C95">
        <w:rPr>
          <w:rFonts w:asciiTheme="majorBidi" w:hAnsiTheme="majorBidi" w:cstheme="majorBidi"/>
          <w:sz w:val="24"/>
          <w:szCs w:val="24"/>
        </w:rPr>
        <w:t>(in billion $)</w:t>
      </w:r>
    </w:p>
    <w:tbl>
      <w:tblPr>
        <w:tblStyle w:val="PlainTable5"/>
        <w:tblW w:w="9344" w:type="dxa"/>
        <w:tblLook w:val="04A0" w:firstRow="1" w:lastRow="0" w:firstColumn="1" w:lastColumn="0" w:noHBand="0" w:noVBand="1"/>
      </w:tblPr>
      <w:tblGrid>
        <w:gridCol w:w="1294"/>
        <w:gridCol w:w="1144"/>
        <w:gridCol w:w="1144"/>
        <w:gridCol w:w="1144"/>
        <w:gridCol w:w="1144"/>
        <w:gridCol w:w="911"/>
        <w:gridCol w:w="1327"/>
        <w:gridCol w:w="1236"/>
      </w:tblGrid>
      <w:tr w:rsidR="00B83234" w14:paraId="7BC6BD12" w14:textId="77777777" w:rsidTr="008F3159">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294" w:type="dxa"/>
          </w:tcPr>
          <w:p w14:paraId="181DAFB9" w14:textId="77777777" w:rsidR="00B83234" w:rsidRDefault="00B83234" w:rsidP="008F3159">
            <w:pPr>
              <w:rPr>
                <w:rFonts w:asciiTheme="majorBidi" w:hAnsiTheme="majorBidi"/>
                <w:sz w:val="24"/>
                <w:szCs w:val="24"/>
              </w:rPr>
            </w:pPr>
          </w:p>
        </w:tc>
        <w:tc>
          <w:tcPr>
            <w:tcW w:w="1144" w:type="dxa"/>
          </w:tcPr>
          <w:p w14:paraId="45EB19D5"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2018</w:t>
            </w:r>
          </w:p>
        </w:tc>
        <w:tc>
          <w:tcPr>
            <w:tcW w:w="1144" w:type="dxa"/>
          </w:tcPr>
          <w:p w14:paraId="674AE11C"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2019</w:t>
            </w:r>
          </w:p>
        </w:tc>
        <w:tc>
          <w:tcPr>
            <w:tcW w:w="1144" w:type="dxa"/>
          </w:tcPr>
          <w:p w14:paraId="3EAADC1E"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2020</w:t>
            </w:r>
          </w:p>
        </w:tc>
        <w:tc>
          <w:tcPr>
            <w:tcW w:w="1144" w:type="dxa"/>
          </w:tcPr>
          <w:p w14:paraId="3BCB48C9"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2021</w:t>
            </w:r>
          </w:p>
        </w:tc>
        <w:tc>
          <w:tcPr>
            <w:tcW w:w="911" w:type="dxa"/>
          </w:tcPr>
          <w:p w14:paraId="00B4115A" w14:textId="77777777" w:rsidR="00B83234"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202</w:t>
            </w:r>
            <w:r>
              <w:rPr>
                <w:rFonts w:asciiTheme="majorBidi" w:hAnsiTheme="majorBidi"/>
                <w:b/>
                <w:bCs/>
                <w:i w:val="0"/>
                <w:iCs w:val="0"/>
                <w:color w:val="C45911" w:themeColor="accent2" w:themeShade="BF"/>
                <w:sz w:val="24"/>
                <w:szCs w:val="24"/>
              </w:rPr>
              <w:t>2</w:t>
            </w:r>
          </w:p>
          <w:p w14:paraId="170A645E" w14:textId="77777777" w:rsidR="00B83234" w:rsidRPr="004F42DA"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C45911" w:themeColor="accent2" w:themeShade="BF"/>
                <w:sz w:val="24"/>
                <w:szCs w:val="24"/>
              </w:rPr>
            </w:pPr>
            <w:r w:rsidRPr="004F42DA">
              <w:rPr>
                <w:rFonts w:asciiTheme="majorBidi" w:hAnsiTheme="majorBidi"/>
                <w:i w:val="0"/>
                <w:iCs w:val="0"/>
                <w:color w:val="0070C0"/>
                <w:sz w:val="24"/>
                <w:szCs w:val="24"/>
              </w:rPr>
              <w:t>(</w:t>
            </w:r>
            <w:r>
              <w:rPr>
                <w:rFonts w:asciiTheme="majorBidi" w:hAnsiTheme="majorBidi"/>
                <w:i w:val="0"/>
                <w:iCs w:val="0"/>
                <w:color w:val="0070C0"/>
                <w:sz w:val="24"/>
                <w:szCs w:val="24"/>
              </w:rPr>
              <w:t>est</w:t>
            </w:r>
            <w:r w:rsidRPr="004F42DA">
              <w:rPr>
                <w:rFonts w:asciiTheme="majorBidi" w:hAnsiTheme="majorBidi"/>
                <w:i w:val="0"/>
                <w:iCs w:val="0"/>
                <w:color w:val="0070C0"/>
                <w:sz w:val="24"/>
                <w:szCs w:val="24"/>
              </w:rPr>
              <w:t>.)</w:t>
            </w:r>
          </w:p>
        </w:tc>
        <w:tc>
          <w:tcPr>
            <w:tcW w:w="1327" w:type="dxa"/>
          </w:tcPr>
          <w:p w14:paraId="04B9263F"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 xml:space="preserve">Growth </w:t>
            </w:r>
          </w:p>
        </w:tc>
        <w:tc>
          <w:tcPr>
            <w:tcW w:w="1236" w:type="dxa"/>
          </w:tcPr>
          <w:p w14:paraId="4DFCF16D" w14:textId="77777777" w:rsidR="00B83234" w:rsidRPr="004646A0" w:rsidRDefault="00B83234" w:rsidP="008F31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i w:val="0"/>
                <w:iCs w:val="0"/>
                <w:color w:val="C45911" w:themeColor="accent2" w:themeShade="BF"/>
                <w:sz w:val="24"/>
                <w:szCs w:val="24"/>
              </w:rPr>
            </w:pPr>
            <w:r w:rsidRPr="004646A0">
              <w:rPr>
                <w:rFonts w:asciiTheme="majorBidi" w:hAnsiTheme="majorBidi"/>
                <w:b/>
                <w:bCs/>
                <w:i w:val="0"/>
                <w:iCs w:val="0"/>
                <w:color w:val="C45911" w:themeColor="accent2" w:themeShade="BF"/>
                <w:sz w:val="24"/>
                <w:szCs w:val="24"/>
              </w:rPr>
              <w:t>Ranking</w:t>
            </w:r>
            <w:r>
              <w:rPr>
                <w:rFonts w:asciiTheme="majorBidi" w:hAnsiTheme="majorBidi"/>
                <w:b/>
                <w:bCs/>
                <w:i w:val="0"/>
                <w:iCs w:val="0"/>
                <w:color w:val="C45911" w:themeColor="accent2" w:themeShade="BF"/>
                <w:sz w:val="24"/>
                <w:szCs w:val="24"/>
              </w:rPr>
              <w:t xml:space="preserve"> </w:t>
            </w:r>
            <w:r w:rsidRPr="004F42DA">
              <w:rPr>
                <w:rFonts w:asciiTheme="majorBidi" w:hAnsiTheme="majorBidi"/>
                <w:i w:val="0"/>
                <w:iCs w:val="0"/>
                <w:color w:val="0070C0"/>
                <w:sz w:val="24"/>
                <w:szCs w:val="24"/>
              </w:rPr>
              <w:t>in 2022</w:t>
            </w:r>
          </w:p>
        </w:tc>
      </w:tr>
      <w:tr w:rsidR="00B83234" w14:paraId="0D544FFF" w14:textId="77777777" w:rsidTr="008F31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4" w:type="dxa"/>
          </w:tcPr>
          <w:p w14:paraId="1250553A" w14:textId="77777777" w:rsidR="00B83234" w:rsidRPr="004646A0" w:rsidRDefault="00B83234" w:rsidP="008F3159">
            <w:pPr>
              <w:jc w:val="left"/>
              <w:rPr>
                <w:rFonts w:asciiTheme="majorBidi" w:hAnsiTheme="majorBidi"/>
                <w:b/>
                <w:bCs/>
                <w:i w:val="0"/>
                <w:iCs w:val="0"/>
                <w:color w:val="2F5496" w:themeColor="accent1" w:themeShade="BF"/>
                <w:sz w:val="24"/>
                <w:szCs w:val="24"/>
              </w:rPr>
            </w:pPr>
            <w:r w:rsidRPr="004646A0">
              <w:rPr>
                <w:rFonts w:asciiTheme="majorBidi" w:hAnsiTheme="majorBidi"/>
                <w:b/>
                <w:bCs/>
                <w:i w:val="0"/>
                <w:iCs w:val="0"/>
                <w:color w:val="2F5496" w:themeColor="accent1" w:themeShade="BF"/>
                <w:sz w:val="24"/>
                <w:szCs w:val="24"/>
              </w:rPr>
              <w:t>Total trade</w:t>
            </w:r>
          </w:p>
        </w:tc>
        <w:tc>
          <w:tcPr>
            <w:tcW w:w="1144" w:type="dxa"/>
          </w:tcPr>
          <w:p w14:paraId="2EE244F3"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35,4</w:t>
            </w:r>
          </w:p>
        </w:tc>
        <w:tc>
          <w:tcPr>
            <w:tcW w:w="1144" w:type="dxa"/>
          </w:tcPr>
          <w:p w14:paraId="397BDE91"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33,4</w:t>
            </w:r>
          </w:p>
        </w:tc>
        <w:tc>
          <w:tcPr>
            <w:tcW w:w="1144" w:type="dxa"/>
          </w:tcPr>
          <w:p w14:paraId="601634AB"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21,8</w:t>
            </w:r>
          </w:p>
        </w:tc>
        <w:tc>
          <w:tcPr>
            <w:tcW w:w="1144" w:type="dxa"/>
          </w:tcPr>
          <w:p w14:paraId="4EEF75B6" w14:textId="77777777" w:rsidR="00B83234" w:rsidRPr="00F52B5B"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52B5B">
              <w:rPr>
                <w:rFonts w:asciiTheme="majorBidi" w:hAnsiTheme="majorBidi" w:cstheme="majorBidi"/>
                <w:sz w:val="24"/>
                <w:szCs w:val="24"/>
              </w:rPr>
              <w:t>34,6</w:t>
            </w:r>
          </w:p>
        </w:tc>
        <w:tc>
          <w:tcPr>
            <w:tcW w:w="911" w:type="dxa"/>
          </w:tcPr>
          <w:p w14:paraId="5383AF0B"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54,5</w:t>
            </w:r>
          </w:p>
        </w:tc>
        <w:tc>
          <w:tcPr>
            <w:tcW w:w="1327" w:type="dxa"/>
          </w:tcPr>
          <w:p w14:paraId="7DDF105C" w14:textId="77777777" w:rsidR="00B83234" w:rsidRPr="00C778DF"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37%</w:t>
            </w:r>
          </w:p>
        </w:tc>
        <w:tc>
          <w:tcPr>
            <w:tcW w:w="1236" w:type="dxa"/>
          </w:tcPr>
          <w:p w14:paraId="718391AE"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 xml:space="preserve"> 7 </w:t>
            </w:r>
          </w:p>
          <w:p w14:paraId="5F78AE94"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rPr>
              <w:t>(</w:t>
            </w:r>
            <w:r w:rsidRPr="00222B25">
              <w:rPr>
                <w:rFonts w:asciiTheme="majorBidi" w:hAnsiTheme="majorBidi" w:cstheme="majorBidi"/>
              </w:rPr>
              <w:t>10</w:t>
            </w:r>
            <w:r w:rsidRPr="00222B25">
              <w:rPr>
                <w:rFonts w:asciiTheme="majorBidi" w:hAnsiTheme="majorBidi" w:cstheme="majorBidi"/>
                <w:vertAlign w:val="superscript"/>
              </w:rPr>
              <w:t>th</w:t>
            </w:r>
            <w:r w:rsidRPr="00222B25">
              <w:rPr>
                <w:rFonts w:asciiTheme="majorBidi" w:hAnsiTheme="majorBidi" w:cstheme="majorBidi"/>
              </w:rPr>
              <w:t xml:space="preserve"> in 2021</w:t>
            </w:r>
            <w:r>
              <w:rPr>
                <w:rFonts w:asciiTheme="majorBidi" w:hAnsiTheme="majorBidi" w:cstheme="majorBidi"/>
              </w:rPr>
              <w:t>)</w:t>
            </w:r>
            <w:r>
              <w:rPr>
                <w:rFonts w:asciiTheme="majorBidi" w:hAnsiTheme="majorBidi" w:cstheme="majorBidi"/>
                <w:b/>
                <w:bCs/>
                <w:sz w:val="24"/>
                <w:szCs w:val="24"/>
              </w:rPr>
              <w:t xml:space="preserve"> </w:t>
            </w:r>
          </w:p>
          <w:p w14:paraId="33CE5309" w14:textId="77777777" w:rsidR="00B83234" w:rsidRPr="00C778DF"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B83234" w14:paraId="5475FE27" w14:textId="77777777" w:rsidTr="008F3159">
        <w:trPr>
          <w:trHeight w:val="567"/>
        </w:trPr>
        <w:tc>
          <w:tcPr>
            <w:cnfStyle w:val="001000000000" w:firstRow="0" w:lastRow="0" w:firstColumn="1" w:lastColumn="0" w:oddVBand="0" w:evenVBand="0" w:oddHBand="0" w:evenHBand="0" w:firstRowFirstColumn="0" w:firstRowLastColumn="0" w:lastRowFirstColumn="0" w:lastRowLastColumn="0"/>
            <w:tcW w:w="1294" w:type="dxa"/>
          </w:tcPr>
          <w:p w14:paraId="768DA74D" w14:textId="77777777" w:rsidR="00B83234" w:rsidRPr="004646A0" w:rsidRDefault="00B83234" w:rsidP="008F3159">
            <w:pPr>
              <w:jc w:val="left"/>
              <w:rPr>
                <w:rFonts w:asciiTheme="majorBidi" w:hAnsiTheme="majorBidi"/>
                <w:b/>
                <w:bCs/>
                <w:i w:val="0"/>
                <w:iCs w:val="0"/>
                <w:color w:val="2F5496" w:themeColor="accent1" w:themeShade="BF"/>
                <w:sz w:val="24"/>
                <w:szCs w:val="24"/>
              </w:rPr>
            </w:pPr>
            <w:r w:rsidRPr="004646A0">
              <w:rPr>
                <w:rFonts w:asciiTheme="majorBidi" w:hAnsiTheme="majorBidi"/>
                <w:b/>
                <w:bCs/>
                <w:i w:val="0"/>
                <w:iCs w:val="0"/>
                <w:color w:val="2F5496" w:themeColor="accent1" w:themeShade="BF"/>
                <w:sz w:val="24"/>
                <w:szCs w:val="24"/>
              </w:rPr>
              <w:t>Export</w:t>
            </w:r>
          </w:p>
        </w:tc>
        <w:tc>
          <w:tcPr>
            <w:tcW w:w="1144" w:type="dxa"/>
          </w:tcPr>
          <w:p w14:paraId="3358219F"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7,9</w:t>
            </w:r>
          </w:p>
        </w:tc>
        <w:tc>
          <w:tcPr>
            <w:tcW w:w="1144" w:type="dxa"/>
          </w:tcPr>
          <w:p w14:paraId="570E92EC"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7,2</w:t>
            </w:r>
          </w:p>
        </w:tc>
        <w:tc>
          <w:tcPr>
            <w:tcW w:w="1144" w:type="dxa"/>
          </w:tcPr>
          <w:p w14:paraId="6527507B"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5,5</w:t>
            </w:r>
          </w:p>
        </w:tc>
        <w:tc>
          <w:tcPr>
            <w:tcW w:w="1144" w:type="dxa"/>
          </w:tcPr>
          <w:p w14:paraId="30477C57" w14:textId="77777777" w:rsidR="00B83234" w:rsidRPr="00F52B5B"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52B5B">
              <w:rPr>
                <w:rFonts w:asciiTheme="majorBidi" w:hAnsiTheme="majorBidi" w:cstheme="majorBidi"/>
                <w:sz w:val="24"/>
                <w:szCs w:val="24"/>
              </w:rPr>
              <w:t>7,5</w:t>
            </w:r>
          </w:p>
        </w:tc>
        <w:tc>
          <w:tcPr>
            <w:tcW w:w="911" w:type="dxa"/>
          </w:tcPr>
          <w:p w14:paraId="4179E089"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b/>
                <w:bCs/>
                <w:sz w:val="24"/>
                <w:szCs w:val="24"/>
              </w:rPr>
              <w:t>8,5</w:t>
            </w:r>
          </w:p>
        </w:tc>
        <w:tc>
          <w:tcPr>
            <w:tcW w:w="1327" w:type="dxa"/>
          </w:tcPr>
          <w:p w14:paraId="7BA7B3D2" w14:textId="77777777" w:rsidR="00B83234" w:rsidRPr="0018358B"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sidRPr="0018358B">
              <w:rPr>
                <w:rFonts w:asciiTheme="majorBidi" w:hAnsiTheme="majorBidi" w:cstheme="majorBidi"/>
                <w:b/>
                <w:bCs/>
                <w:sz w:val="24"/>
                <w:szCs w:val="24"/>
              </w:rPr>
              <w:t>12%</w:t>
            </w:r>
          </w:p>
        </w:tc>
        <w:tc>
          <w:tcPr>
            <w:tcW w:w="1236" w:type="dxa"/>
          </w:tcPr>
          <w:p w14:paraId="6BAA6723"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b/>
                <w:bCs/>
                <w:sz w:val="24"/>
                <w:szCs w:val="24"/>
              </w:rPr>
              <w:t>19</w:t>
            </w:r>
            <w:r>
              <w:rPr>
                <w:rFonts w:asciiTheme="majorBidi" w:hAnsiTheme="majorBidi" w:cstheme="majorBidi"/>
                <w:sz w:val="24"/>
                <w:szCs w:val="24"/>
              </w:rPr>
              <w:t xml:space="preserve"> </w:t>
            </w:r>
          </w:p>
          <w:p w14:paraId="0343A0A1"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rPr>
              <w:t>(</w:t>
            </w:r>
            <w:r w:rsidRPr="00222B25">
              <w:rPr>
                <w:rFonts w:asciiTheme="majorBidi" w:hAnsiTheme="majorBidi" w:cstheme="majorBidi"/>
              </w:rPr>
              <w:t>21th in 2021</w:t>
            </w:r>
            <w:r>
              <w:rPr>
                <w:rFonts w:asciiTheme="majorBidi" w:hAnsiTheme="majorBidi" w:cstheme="majorBidi"/>
              </w:rPr>
              <w:t>)</w:t>
            </w:r>
          </w:p>
        </w:tc>
      </w:tr>
      <w:tr w:rsidR="00B83234" w14:paraId="2F191119" w14:textId="77777777" w:rsidTr="008F31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94" w:type="dxa"/>
          </w:tcPr>
          <w:p w14:paraId="4DA40AD1" w14:textId="77777777" w:rsidR="00B83234" w:rsidRPr="004646A0" w:rsidRDefault="00B83234" w:rsidP="008F3159">
            <w:pPr>
              <w:jc w:val="left"/>
              <w:rPr>
                <w:rFonts w:asciiTheme="majorBidi" w:hAnsiTheme="majorBidi"/>
                <w:b/>
                <w:bCs/>
                <w:i w:val="0"/>
                <w:iCs w:val="0"/>
                <w:color w:val="2F5496" w:themeColor="accent1" w:themeShade="BF"/>
                <w:sz w:val="24"/>
                <w:szCs w:val="24"/>
              </w:rPr>
            </w:pPr>
            <w:r w:rsidRPr="004646A0">
              <w:rPr>
                <w:rFonts w:asciiTheme="majorBidi" w:hAnsiTheme="majorBidi"/>
                <w:b/>
                <w:bCs/>
                <w:i w:val="0"/>
                <w:iCs w:val="0"/>
                <w:color w:val="2F5496" w:themeColor="accent1" w:themeShade="BF"/>
                <w:sz w:val="24"/>
                <w:szCs w:val="24"/>
              </w:rPr>
              <w:t>Import</w:t>
            </w:r>
          </w:p>
        </w:tc>
        <w:tc>
          <w:tcPr>
            <w:tcW w:w="1144" w:type="dxa"/>
          </w:tcPr>
          <w:p w14:paraId="293FCCF1"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27,5</w:t>
            </w:r>
          </w:p>
        </w:tc>
        <w:tc>
          <w:tcPr>
            <w:tcW w:w="1144" w:type="dxa"/>
          </w:tcPr>
          <w:p w14:paraId="0FA60B4D"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26,2</w:t>
            </w:r>
          </w:p>
        </w:tc>
        <w:tc>
          <w:tcPr>
            <w:tcW w:w="1144" w:type="dxa"/>
          </w:tcPr>
          <w:p w14:paraId="700C42F7"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16,3</w:t>
            </w:r>
          </w:p>
        </w:tc>
        <w:tc>
          <w:tcPr>
            <w:tcW w:w="1144" w:type="dxa"/>
          </w:tcPr>
          <w:p w14:paraId="2171EE33" w14:textId="77777777" w:rsidR="00B83234" w:rsidRPr="00F52B5B"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F52B5B">
              <w:rPr>
                <w:rFonts w:asciiTheme="majorBidi" w:hAnsiTheme="majorBidi" w:cstheme="majorBidi"/>
                <w:sz w:val="24"/>
                <w:szCs w:val="24"/>
              </w:rPr>
              <w:t>27,1</w:t>
            </w:r>
          </w:p>
        </w:tc>
        <w:tc>
          <w:tcPr>
            <w:tcW w:w="911" w:type="dxa"/>
          </w:tcPr>
          <w:p w14:paraId="2ACBE6BB"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46,0</w:t>
            </w:r>
          </w:p>
        </w:tc>
        <w:tc>
          <w:tcPr>
            <w:tcW w:w="1327" w:type="dxa"/>
          </w:tcPr>
          <w:p w14:paraId="6B5F635B" w14:textId="77777777" w:rsidR="00B83234" w:rsidRPr="00C778DF"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41%</w:t>
            </w:r>
          </w:p>
        </w:tc>
        <w:tc>
          <w:tcPr>
            <w:tcW w:w="1236" w:type="dxa"/>
          </w:tcPr>
          <w:p w14:paraId="45738894"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 xml:space="preserve">4 </w:t>
            </w:r>
          </w:p>
          <w:p w14:paraId="7C4B6C9B" w14:textId="77777777" w:rsidR="00B83234"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rPr>
              <w:t>(</w:t>
            </w:r>
            <w:r w:rsidRPr="00222B25">
              <w:rPr>
                <w:rFonts w:asciiTheme="majorBidi" w:hAnsiTheme="majorBidi" w:cstheme="majorBidi"/>
              </w:rPr>
              <w:t>7</w:t>
            </w:r>
            <w:r w:rsidRPr="00222B25">
              <w:rPr>
                <w:rFonts w:asciiTheme="majorBidi" w:hAnsiTheme="majorBidi" w:cstheme="majorBidi"/>
                <w:vertAlign w:val="superscript"/>
              </w:rPr>
              <w:t>th</w:t>
            </w:r>
            <w:r w:rsidRPr="00222B25">
              <w:rPr>
                <w:rFonts w:asciiTheme="majorBidi" w:hAnsiTheme="majorBidi" w:cstheme="majorBidi"/>
              </w:rPr>
              <w:t xml:space="preserve"> in 2021</w:t>
            </w:r>
            <w:r>
              <w:rPr>
                <w:rFonts w:asciiTheme="majorBidi" w:hAnsiTheme="majorBidi" w:cstheme="majorBidi"/>
              </w:rPr>
              <w:t>)</w:t>
            </w:r>
          </w:p>
          <w:p w14:paraId="74926427" w14:textId="77777777" w:rsidR="00B83234" w:rsidRPr="00C778DF" w:rsidRDefault="00B83234" w:rsidP="008F3159">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p>
        </w:tc>
      </w:tr>
      <w:tr w:rsidR="00B83234" w14:paraId="0B626053" w14:textId="77777777" w:rsidTr="008F3159">
        <w:trPr>
          <w:trHeight w:val="567"/>
        </w:trPr>
        <w:tc>
          <w:tcPr>
            <w:cnfStyle w:val="001000000000" w:firstRow="0" w:lastRow="0" w:firstColumn="1" w:lastColumn="0" w:oddVBand="0" w:evenVBand="0" w:oddHBand="0" w:evenHBand="0" w:firstRowFirstColumn="0" w:firstRowLastColumn="0" w:lastRowFirstColumn="0" w:lastRowLastColumn="0"/>
            <w:tcW w:w="1294" w:type="dxa"/>
          </w:tcPr>
          <w:p w14:paraId="6FB1B955" w14:textId="77777777" w:rsidR="00B83234" w:rsidRPr="004646A0" w:rsidRDefault="00B83234" w:rsidP="008F3159">
            <w:pPr>
              <w:jc w:val="left"/>
              <w:rPr>
                <w:rFonts w:asciiTheme="majorBidi" w:hAnsiTheme="majorBidi"/>
                <w:b/>
                <w:bCs/>
                <w:i w:val="0"/>
                <w:iCs w:val="0"/>
                <w:color w:val="2F5496" w:themeColor="accent1" w:themeShade="BF"/>
                <w:sz w:val="24"/>
                <w:szCs w:val="24"/>
              </w:rPr>
            </w:pPr>
            <w:r w:rsidRPr="004646A0">
              <w:rPr>
                <w:rFonts w:asciiTheme="majorBidi" w:hAnsiTheme="majorBidi"/>
                <w:b/>
                <w:bCs/>
                <w:i w:val="0"/>
                <w:iCs w:val="0"/>
                <w:color w:val="2F5496" w:themeColor="accent1" w:themeShade="BF"/>
                <w:sz w:val="24"/>
                <w:szCs w:val="24"/>
              </w:rPr>
              <w:t>Balance</w:t>
            </w:r>
          </w:p>
        </w:tc>
        <w:tc>
          <w:tcPr>
            <w:tcW w:w="1144" w:type="dxa"/>
          </w:tcPr>
          <w:p w14:paraId="101FD623"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-19,6</w:t>
            </w:r>
          </w:p>
        </w:tc>
        <w:tc>
          <w:tcPr>
            <w:tcW w:w="1144" w:type="dxa"/>
          </w:tcPr>
          <w:p w14:paraId="3066B1B1"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-19,0</w:t>
            </w:r>
          </w:p>
        </w:tc>
        <w:tc>
          <w:tcPr>
            <w:tcW w:w="1144" w:type="dxa"/>
          </w:tcPr>
          <w:p w14:paraId="6EBB96E2"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-10,8</w:t>
            </w:r>
          </w:p>
        </w:tc>
        <w:tc>
          <w:tcPr>
            <w:tcW w:w="1144" w:type="dxa"/>
          </w:tcPr>
          <w:p w14:paraId="2D985629" w14:textId="77777777" w:rsidR="00B83234" w:rsidRPr="00F52B5B"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F52B5B">
              <w:rPr>
                <w:rFonts w:asciiTheme="majorBidi" w:hAnsiTheme="majorBidi" w:cstheme="majorBidi"/>
                <w:sz w:val="24"/>
                <w:szCs w:val="24"/>
              </w:rPr>
              <w:t>-19,6</w:t>
            </w:r>
          </w:p>
        </w:tc>
        <w:tc>
          <w:tcPr>
            <w:tcW w:w="911" w:type="dxa"/>
          </w:tcPr>
          <w:p w14:paraId="482E38B0"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b/>
                <w:bCs/>
                <w:sz w:val="24"/>
                <w:szCs w:val="24"/>
              </w:rPr>
              <w:t>-37,5</w:t>
            </w:r>
          </w:p>
        </w:tc>
        <w:tc>
          <w:tcPr>
            <w:tcW w:w="1327" w:type="dxa"/>
          </w:tcPr>
          <w:p w14:paraId="304190F4"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236" w:type="dxa"/>
          </w:tcPr>
          <w:p w14:paraId="5E62B263" w14:textId="77777777" w:rsidR="00B83234" w:rsidRDefault="00B83234" w:rsidP="008F3159">
            <w:pPr>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7169777F" w14:textId="77777777" w:rsidR="001C47E5" w:rsidRDefault="00B83234" w:rsidP="001C47E5">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AF0F71">
        <w:rPr>
          <w:rFonts w:asciiTheme="majorBidi" w:hAnsiTheme="majorBidi" w:cstheme="majorBidi"/>
          <w:sz w:val="24"/>
          <w:szCs w:val="24"/>
        </w:rPr>
        <w:t xml:space="preserve">In the overall trade, UAE has become Japan’s 7th largest trading partner globally in 2022, and 4th in terms of Japan’s total imports from abroad. </w:t>
      </w:r>
    </w:p>
    <w:p w14:paraId="68EF4E6A" w14:textId="6F6C9E4D" w:rsidR="001C47E5" w:rsidRPr="00EB029D" w:rsidRDefault="00B83234" w:rsidP="00EB029D">
      <w:pPr>
        <w:pStyle w:val="ListParagraph"/>
        <w:numPr>
          <w:ilvl w:val="0"/>
          <w:numId w:val="18"/>
        </w:numPr>
        <w:spacing w:before="100" w:beforeAutospacing="1" w:after="100" w:afterAutospacing="1" w:line="360" w:lineRule="auto"/>
        <w:jc w:val="both"/>
        <w:rPr>
          <w:rFonts w:asciiTheme="majorBidi" w:hAnsiTheme="majorBidi" w:cstheme="majorBidi"/>
          <w:sz w:val="24"/>
          <w:szCs w:val="24"/>
        </w:rPr>
      </w:pPr>
      <w:r w:rsidRPr="00494B53">
        <w:rPr>
          <w:rFonts w:asciiTheme="majorBidi" w:hAnsiTheme="majorBidi" w:cstheme="majorBidi"/>
          <w:sz w:val="24"/>
          <w:szCs w:val="24"/>
          <w:u w:val="single"/>
        </w:rPr>
        <w:t xml:space="preserve">The UAE </w:t>
      </w:r>
      <w:r w:rsidR="00AF0F71" w:rsidRPr="00494B53">
        <w:rPr>
          <w:rFonts w:asciiTheme="majorBidi" w:hAnsiTheme="majorBidi" w:cstheme="majorBidi"/>
          <w:sz w:val="24"/>
          <w:szCs w:val="24"/>
          <w:u w:val="single"/>
        </w:rPr>
        <w:t>T</w:t>
      </w:r>
      <w:r w:rsidRPr="00494B53">
        <w:rPr>
          <w:rFonts w:asciiTheme="majorBidi" w:hAnsiTheme="majorBidi" w:cstheme="majorBidi"/>
          <w:sz w:val="24"/>
          <w:szCs w:val="24"/>
          <w:u w:val="single"/>
        </w:rPr>
        <w:t xml:space="preserve">op-ranked </w:t>
      </w:r>
      <w:r w:rsidR="00AF0F71" w:rsidRPr="00494B53">
        <w:rPr>
          <w:rFonts w:asciiTheme="majorBidi" w:hAnsiTheme="majorBidi" w:cstheme="majorBidi"/>
          <w:sz w:val="24"/>
          <w:szCs w:val="24"/>
          <w:u w:val="single"/>
        </w:rPr>
        <w:t>1st</w:t>
      </w:r>
      <w:r w:rsidRPr="00494B53">
        <w:rPr>
          <w:rFonts w:asciiTheme="majorBidi" w:hAnsiTheme="majorBidi" w:cstheme="majorBidi"/>
          <w:sz w:val="24"/>
          <w:szCs w:val="24"/>
          <w:u w:val="single"/>
        </w:rPr>
        <w:t xml:space="preserve"> by leading Japan’s overseas crude oil supply</w:t>
      </w:r>
      <w:r w:rsidRPr="001C47E5">
        <w:rPr>
          <w:rFonts w:asciiTheme="majorBidi" w:hAnsiTheme="majorBidi" w:cstheme="majorBidi"/>
          <w:sz w:val="24"/>
          <w:szCs w:val="24"/>
        </w:rPr>
        <w:t xml:space="preserve">, which covered nearly 40% of Japan’s total crude oil imports, a record for the </w:t>
      </w:r>
      <w:r w:rsidR="000A3AA2" w:rsidRPr="001C47E5">
        <w:rPr>
          <w:rFonts w:asciiTheme="majorBidi" w:hAnsiTheme="majorBidi" w:cstheme="majorBidi"/>
          <w:sz w:val="24"/>
          <w:szCs w:val="24"/>
        </w:rPr>
        <w:t>UAE</w:t>
      </w:r>
      <w:r w:rsidRPr="001C47E5">
        <w:rPr>
          <w:rFonts w:asciiTheme="majorBidi" w:hAnsiTheme="majorBidi" w:cstheme="majorBidi"/>
          <w:sz w:val="24"/>
          <w:szCs w:val="24"/>
        </w:rPr>
        <w:t xml:space="preserve"> satisfying Japan oil needs in 2022</w:t>
      </w:r>
      <w:r w:rsidR="003911F9" w:rsidRPr="001C47E5">
        <w:rPr>
          <w:rFonts w:asciiTheme="majorBidi" w:hAnsiTheme="majorBidi" w:cstheme="majorBidi"/>
          <w:sz w:val="24"/>
          <w:szCs w:val="24"/>
        </w:rPr>
        <w:t>.</w:t>
      </w:r>
    </w:p>
    <w:p w14:paraId="2A799EB7" w14:textId="3501F44C" w:rsidR="004D4F3F" w:rsidRDefault="000514C2" w:rsidP="000314AF">
      <w:pPr>
        <w:pStyle w:val="ListParagraph"/>
        <w:numPr>
          <w:ilvl w:val="0"/>
          <w:numId w:val="18"/>
        </w:numPr>
        <w:spacing w:line="360" w:lineRule="auto"/>
        <w:jc w:val="both"/>
        <w:rPr>
          <w:rFonts w:asciiTheme="majorBidi" w:hAnsiTheme="majorBidi" w:cstheme="majorBidi"/>
          <w:sz w:val="24"/>
          <w:szCs w:val="24"/>
        </w:rPr>
      </w:pPr>
      <w:r w:rsidRPr="00AF0F71">
        <w:rPr>
          <w:rFonts w:asciiTheme="majorBidi" w:hAnsiTheme="majorBidi" w:cstheme="majorBidi"/>
          <w:sz w:val="24"/>
          <w:szCs w:val="24"/>
        </w:rPr>
        <w:t xml:space="preserve">In 2022, Japan’s export value amounted approximately to 8.5 billion USD and import value 46 billion USD from the UAE, resulting </w:t>
      </w:r>
      <w:r w:rsidR="003911F9">
        <w:rPr>
          <w:rFonts w:asciiTheme="majorBidi" w:hAnsiTheme="majorBidi" w:cstheme="majorBidi"/>
          <w:sz w:val="24"/>
          <w:szCs w:val="24"/>
        </w:rPr>
        <w:t>total trade</w:t>
      </w:r>
      <w:r w:rsidRPr="00AF0F71">
        <w:rPr>
          <w:rFonts w:asciiTheme="majorBidi" w:hAnsiTheme="majorBidi" w:cstheme="majorBidi"/>
          <w:sz w:val="24"/>
          <w:szCs w:val="24"/>
        </w:rPr>
        <w:t xml:space="preserve"> of </w:t>
      </w:r>
      <w:r w:rsidR="003911F9">
        <w:rPr>
          <w:rFonts w:asciiTheme="majorBidi" w:hAnsiTheme="majorBidi" w:cstheme="majorBidi"/>
          <w:sz w:val="24"/>
          <w:szCs w:val="24"/>
        </w:rPr>
        <w:t>54.5</w:t>
      </w:r>
      <w:r w:rsidRPr="00AF0F71">
        <w:rPr>
          <w:rFonts w:asciiTheme="majorBidi" w:hAnsiTheme="majorBidi" w:cstheme="majorBidi"/>
          <w:sz w:val="24"/>
          <w:szCs w:val="24"/>
        </w:rPr>
        <w:t xml:space="preserve"> billion US dollars. </w:t>
      </w:r>
    </w:p>
    <w:p w14:paraId="2D81E6EC" w14:textId="4466BCC4" w:rsidR="000A3AA2" w:rsidRDefault="000A3AA2" w:rsidP="000514C2">
      <w:pPr>
        <w:spacing w:line="360" w:lineRule="auto"/>
        <w:jc w:val="both"/>
        <w:rPr>
          <w:rFonts w:asciiTheme="majorBidi" w:hAnsiTheme="majorBidi" w:cstheme="majorBidi"/>
          <w:sz w:val="24"/>
          <w:szCs w:val="24"/>
        </w:rPr>
      </w:pPr>
    </w:p>
    <w:p w14:paraId="44897CEA" w14:textId="1D23D7A9" w:rsidR="000A3AA2" w:rsidRPr="000D6EEB" w:rsidRDefault="000A3AA2" w:rsidP="000A3AA2">
      <w:pPr>
        <w:spacing w:line="360" w:lineRule="auto"/>
        <w:jc w:val="both"/>
        <w:rPr>
          <w:rFonts w:asciiTheme="majorBidi" w:hAnsiTheme="majorBidi" w:cstheme="majorBidi"/>
          <w:sz w:val="24"/>
          <w:szCs w:val="24"/>
        </w:rPr>
      </w:pPr>
      <w:r>
        <w:rPr>
          <w:noProof/>
          <w:lang w:val="en-US" w:eastAsia="en-US"/>
        </w:rPr>
        <w:drawing>
          <wp:inline distT="0" distB="0" distL="0" distR="0" wp14:anchorId="48FF9268" wp14:editId="6A25D6F3">
            <wp:extent cx="5939790" cy="3235960"/>
            <wp:effectExtent l="0" t="0" r="381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308C78" w14:textId="77777777" w:rsidR="005C72EF" w:rsidRDefault="005C72EF" w:rsidP="005C72EF">
      <w:pPr>
        <w:pStyle w:val="ListParagraph"/>
        <w:spacing w:line="360" w:lineRule="auto"/>
        <w:jc w:val="both"/>
        <w:rPr>
          <w:rFonts w:asciiTheme="majorBidi" w:hAnsiTheme="majorBidi" w:cstheme="majorBidi"/>
          <w:sz w:val="24"/>
          <w:szCs w:val="24"/>
        </w:rPr>
      </w:pPr>
    </w:p>
    <w:p w14:paraId="2793B92E" w14:textId="188101D8" w:rsidR="000514C2" w:rsidRPr="00E97149" w:rsidRDefault="000514C2" w:rsidP="000514C2">
      <w:pPr>
        <w:pStyle w:val="ListParagraph"/>
        <w:numPr>
          <w:ilvl w:val="0"/>
          <w:numId w:val="17"/>
        </w:numPr>
        <w:spacing w:line="360" w:lineRule="auto"/>
        <w:jc w:val="both"/>
        <w:rPr>
          <w:rFonts w:asciiTheme="majorBidi" w:hAnsiTheme="majorBidi" w:cstheme="majorBidi"/>
          <w:sz w:val="24"/>
          <w:szCs w:val="24"/>
        </w:rPr>
      </w:pPr>
      <w:r w:rsidRPr="00252CAE">
        <w:rPr>
          <w:rFonts w:asciiTheme="majorBidi" w:hAnsiTheme="majorBidi" w:cstheme="majorBidi"/>
          <w:sz w:val="24"/>
          <w:szCs w:val="24"/>
        </w:rPr>
        <w:t xml:space="preserve">In 2022, the increase in Japan’s export to UAE </w:t>
      </w:r>
      <w:r>
        <w:rPr>
          <w:rFonts w:asciiTheme="majorBidi" w:hAnsiTheme="majorBidi" w:cstheme="majorBidi"/>
          <w:sz w:val="24"/>
          <w:szCs w:val="24"/>
        </w:rPr>
        <w:t>by</w:t>
      </w:r>
      <w:r w:rsidRPr="00252CAE">
        <w:rPr>
          <w:rFonts w:asciiTheme="majorBidi" w:hAnsiTheme="majorBidi" w:cstheme="majorBidi"/>
          <w:sz w:val="24"/>
          <w:szCs w:val="24"/>
        </w:rPr>
        <w:t xml:space="preserve"> 12% is explained primarily by an increase in product exports of </w:t>
      </w:r>
      <w:r w:rsidRPr="00E97149">
        <w:rPr>
          <w:rFonts w:asciiTheme="majorBidi" w:hAnsiTheme="majorBidi" w:cstheme="majorBidi"/>
          <w:sz w:val="24"/>
          <w:szCs w:val="24"/>
        </w:rPr>
        <w:t xml:space="preserve">Cars </w:t>
      </w:r>
      <w:r w:rsidRPr="00041795">
        <w:rPr>
          <w:rFonts w:asciiTheme="majorBidi" w:hAnsiTheme="majorBidi" w:cstheme="majorBidi"/>
          <w:i/>
          <w:iCs/>
          <w:sz w:val="24"/>
          <w:szCs w:val="24"/>
        </w:rPr>
        <w:t>(share in total exports 35%)</w:t>
      </w:r>
      <w:r w:rsidRPr="00E97149">
        <w:rPr>
          <w:rFonts w:asciiTheme="majorBidi" w:hAnsiTheme="majorBidi" w:cstheme="majorBidi"/>
          <w:sz w:val="24"/>
          <w:szCs w:val="24"/>
        </w:rPr>
        <w:t xml:space="preserve">, Motor vehicles (14%), Delivery trucks (7%), Spark-ignition engines (2.6%) Rubber tires (2.5%), Buses (2.3%), Vehicle parts, Large iron pipes, Machinery and Equipment. </w:t>
      </w:r>
    </w:p>
    <w:p w14:paraId="6933DF78" w14:textId="77777777" w:rsidR="000514C2" w:rsidRPr="00D37875" w:rsidRDefault="000514C2" w:rsidP="000514C2">
      <w:pPr>
        <w:pStyle w:val="ListParagraph"/>
        <w:numPr>
          <w:ilvl w:val="0"/>
          <w:numId w:val="17"/>
        </w:numPr>
        <w:spacing w:line="360" w:lineRule="auto"/>
        <w:jc w:val="both"/>
        <w:rPr>
          <w:rFonts w:asciiTheme="majorBidi" w:hAnsiTheme="majorBidi" w:cstheme="majorBidi"/>
          <w:sz w:val="24"/>
          <w:szCs w:val="24"/>
        </w:rPr>
      </w:pPr>
      <w:r w:rsidRPr="00252CAE">
        <w:rPr>
          <w:rFonts w:asciiTheme="majorBidi" w:hAnsiTheme="majorBidi" w:cstheme="majorBidi"/>
          <w:sz w:val="24"/>
          <w:szCs w:val="24"/>
        </w:rPr>
        <w:t>In 2022, Japan’s imports from UAE increased by 41% which is explained primarily by</w:t>
      </w:r>
      <w:r w:rsidRPr="00252CAE">
        <w:rPr>
          <w:rFonts w:asciiTheme="majorBidi" w:hAnsiTheme="majorBidi" w:cstheme="majorBidi"/>
          <w:b/>
          <w:bCs/>
          <w:sz w:val="24"/>
          <w:szCs w:val="24"/>
        </w:rPr>
        <w:t xml:space="preserve"> </w:t>
      </w:r>
      <w:r w:rsidRPr="00494B53">
        <w:rPr>
          <w:rFonts w:asciiTheme="majorBidi" w:hAnsiTheme="majorBidi" w:cstheme="majorBidi"/>
          <w:sz w:val="24"/>
          <w:szCs w:val="24"/>
        </w:rPr>
        <w:t xml:space="preserve">post pandemic Covid-19 economic recovery,  higher crude oil costs associated with a global demand, the yen depreciation and the increase of UAE’s main export products, including </w:t>
      </w:r>
      <w:hyperlink r:id="rId9" w:history="1">
        <w:r w:rsidRPr="00494B53">
          <w:rPr>
            <w:rFonts w:asciiTheme="majorBidi" w:hAnsiTheme="majorBidi" w:cstheme="majorBidi"/>
            <w:sz w:val="24"/>
            <w:szCs w:val="24"/>
          </w:rPr>
          <w:t>Crude Petroleum</w:t>
        </w:r>
      </w:hyperlink>
      <w:r>
        <w:rPr>
          <w:rFonts w:asciiTheme="majorBidi" w:hAnsiTheme="majorBidi" w:cstheme="majorBidi"/>
          <w:sz w:val="24"/>
          <w:szCs w:val="24"/>
        </w:rPr>
        <w:t xml:space="preserve"> </w:t>
      </w:r>
      <w:r w:rsidRPr="00041795">
        <w:rPr>
          <w:rFonts w:asciiTheme="majorBidi" w:hAnsiTheme="majorBidi" w:cstheme="majorBidi"/>
          <w:i/>
          <w:iCs/>
          <w:sz w:val="24"/>
          <w:szCs w:val="24"/>
        </w:rPr>
        <w:t>(share in total imports 79%)</w:t>
      </w:r>
      <w:r w:rsidRPr="00252CAE">
        <w:rPr>
          <w:rFonts w:asciiTheme="majorBidi" w:hAnsiTheme="majorBidi" w:cstheme="majorBidi"/>
          <w:sz w:val="24"/>
          <w:szCs w:val="24"/>
        </w:rPr>
        <w:t>, </w:t>
      </w:r>
      <w:hyperlink r:id="rId10" w:history="1">
        <w:r w:rsidRPr="00252CAE">
          <w:rPr>
            <w:rFonts w:asciiTheme="majorBidi" w:hAnsiTheme="majorBidi" w:cstheme="majorBidi"/>
            <w:sz w:val="24"/>
            <w:szCs w:val="24"/>
          </w:rPr>
          <w:t>Refined Petroleum</w:t>
        </w:r>
      </w:hyperlink>
      <w:r>
        <w:rPr>
          <w:rFonts w:asciiTheme="majorBidi" w:hAnsiTheme="majorBidi" w:cstheme="majorBidi"/>
          <w:sz w:val="24"/>
          <w:szCs w:val="24"/>
        </w:rPr>
        <w:t xml:space="preserve"> (8.5%)</w:t>
      </w:r>
      <w:r w:rsidRPr="00252CAE">
        <w:rPr>
          <w:rFonts w:asciiTheme="majorBidi" w:hAnsiTheme="majorBidi" w:cstheme="majorBidi"/>
          <w:sz w:val="24"/>
          <w:szCs w:val="24"/>
        </w:rPr>
        <w:t>, </w:t>
      </w:r>
      <w:hyperlink r:id="rId11" w:history="1">
        <w:r w:rsidRPr="00252CAE">
          <w:rPr>
            <w:rFonts w:asciiTheme="majorBidi" w:hAnsiTheme="majorBidi" w:cstheme="majorBidi"/>
            <w:sz w:val="24"/>
            <w:szCs w:val="24"/>
          </w:rPr>
          <w:t>Petroleum Gas</w:t>
        </w:r>
      </w:hyperlink>
      <w:r>
        <w:rPr>
          <w:rFonts w:asciiTheme="majorBidi" w:hAnsiTheme="majorBidi" w:cstheme="majorBidi"/>
          <w:sz w:val="24"/>
          <w:szCs w:val="24"/>
        </w:rPr>
        <w:t xml:space="preserve"> (3.5%)</w:t>
      </w:r>
      <w:r w:rsidRPr="00252CAE">
        <w:rPr>
          <w:rFonts w:asciiTheme="majorBidi" w:hAnsiTheme="majorBidi" w:cstheme="majorBidi"/>
          <w:sz w:val="24"/>
          <w:szCs w:val="24"/>
        </w:rPr>
        <w:t xml:space="preserve">, </w:t>
      </w:r>
    </w:p>
    <w:p w14:paraId="0610DC8F" w14:textId="77777777" w:rsidR="000514C2" w:rsidRDefault="000514C2" w:rsidP="000514C2">
      <w:pPr>
        <w:pStyle w:val="ListParagraph"/>
        <w:spacing w:line="360" w:lineRule="auto"/>
        <w:jc w:val="both"/>
        <w:rPr>
          <w:rFonts w:asciiTheme="majorBidi" w:hAnsiTheme="majorBidi" w:cstheme="majorBidi"/>
          <w:sz w:val="24"/>
          <w:szCs w:val="24"/>
        </w:rPr>
      </w:pPr>
      <w:r w:rsidRPr="00B36358">
        <w:rPr>
          <w:rFonts w:asciiTheme="majorBidi" w:hAnsiTheme="majorBidi" w:cstheme="majorBidi"/>
          <w:b/>
          <w:bCs/>
          <w:sz w:val="24"/>
          <w:szCs w:val="24"/>
          <w:u w:val="single"/>
        </w:rPr>
        <w:t>Other non-oil products</w:t>
      </w:r>
      <w:r w:rsidRPr="00B36358">
        <w:rPr>
          <w:rFonts w:asciiTheme="majorBidi" w:hAnsiTheme="majorBidi" w:cstheme="majorBidi"/>
          <w:sz w:val="24"/>
          <w:szCs w:val="24"/>
          <w:u w:val="single"/>
        </w:rPr>
        <w:t>:</w:t>
      </w:r>
      <w:r w:rsidRPr="00D37875">
        <w:rPr>
          <w:rFonts w:asciiTheme="majorBidi" w:hAnsiTheme="majorBidi" w:cstheme="majorBidi"/>
          <w:sz w:val="24"/>
          <w:szCs w:val="24"/>
        </w:rPr>
        <w:t xml:space="preserve"> Raw Aluminium (3.5%), Cars (0.7%)</w:t>
      </w:r>
      <w:r>
        <w:rPr>
          <w:rFonts w:asciiTheme="majorBidi" w:hAnsiTheme="majorBidi" w:cstheme="majorBidi"/>
          <w:sz w:val="24"/>
          <w:szCs w:val="24"/>
        </w:rPr>
        <w:t xml:space="preserve">, Buses, </w:t>
      </w:r>
      <w:r w:rsidRPr="00D37875">
        <w:rPr>
          <w:rFonts w:asciiTheme="majorBidi" w:hAnsiTheme="majorBidi" w:cstheme="majorBidi"/>
          <w:sz w:val="24"/>
          <w:szCs w:val="24"/>
        </w:rPr>
        <w:t>Motor Vehicle and Aircraft parts,</w:t>
      </w:r>
      <w:r>
        <w:rPr>
          <w:rFonts w:asciiTheme="majorBidi" w:hAnsiTheme="majorBidi" w:cstheme="majorBidi"/>
          <w:sz w:val="24"/>
          <w:szCs w:val="24"/>
        </w:rPr>
        <w:t xml:space="preserve"> Rubber tires,</w:t>
      </w:r>
      <w:r w:rsidRPr="00D37875">
        <w:rPr>
          <w:rFonts w:asciiTheme="majorBidi" w:hAnsiTheme="majorBidi" w:cstheme="majorBidi"/>
          <w:sz w:val="24"/>
          <w:szCs w:val="24"/>
        </w:rPr>
        <w:t xml:space="preserve"> </w:t>
      </w:r>
      <w:r>
        <w:rPr>
          <w:rFonts w:asciiTheme="majorBidi" w:hAnsiTheme="majorBidi" w:cstheme="majorBidi"/>
          <w:sz w:val="24"/>
          <w:szCs w:val="24"/>
        </w:rPr>
        <w:t xml:space="preserve">Plastic and Chemical products, </w:t>
      </w:r>
      <w:r w:rsidRPr="00D37875">
        <w:rPr>
          <w:rFonts w:asciiTheme="majorBidi" w:hAnsiTheme="majorBidi" w:cstheme="majorBidi"/>
          <w:sz w:val="24"/>
          <w:szCs w:val="24"/>
        </w:rPr>
        <w:t>Iron pipes</w:t>
      </w:r>
      <w:r>
        <w:rPr>
          <w:rFonts w:asciiTheme="majorBidi" w:hAnsiTheme="majorBidi" w:cstheme="majorBidi"/>
          <w:sz w:val="24"/>
          <w:szCs w:val="24"/>
        </w:rPr>
        <w:t xml:space="preserve">, </w:t>
      </w:r>
      <w:r w:rsidRPr="00D37875">
        <w:rPr>
          <w:rFonts w:asciiTheme="majorBidi" w:hAnsiTheme="majorBidi" w:cstheme="majorBidi"/>
          <w:sz w:val="24"/>
          <w:szCs w:val="24"/>
        </w:rPr>
        <w:t>Precious Metals</w:t>
      </w:r>
      <w:r>
        <w:rPr>
          <w:rFonts w:asciiTheme="majorBidi" w:hAnsiTheme="majorBidi" w:cstheme="majorBidi"/>
          <w:sz w:val="24"/>
          <w:szCs w:val="24"/>
        </w:rPr>
        <w:t xml:space="preserve">, Ceramic, Sports equipment, Textile and Foodstuffs (pasta, tea, fish oil). </w:t>
      </w:r>
    </w:p>
    <w:p w14:paraId="4FEA04E2" w14:textId="6F950F35" w:rsidR="000514C2" w:rsidRPr="006D344F" w:rsidRDefault="000514C2" w:rsidP="004D4F3F">
      <w:pPr>
        <w:pStyle w:val="ListParagraph"/>
        <w:numPr>
          <w:ilvl w:val="0"/>
          <w:numId w:val="17"/>
        </w:numPr>
        <w:spacing w:line="360" w:lineRule="auto"/>
        <w:jc w:val="both"/>
        <w:rPr>
          <w:rFonts w:asciiTheme="majorBidi" w:hAnsiTheme="majorBidi" w:cstheme="majorBidi"/>
          <w:i/>
          <w:iCs/>
          <w:sz w:val="24"/>
          <w:szCs w:val="24"/>
        </w:rPr>
      </w:pPr>
      <w:r w:rsidRPr="000F24CD">
        <w:rPr>
          <w:rFonts w:asciiTheme="majorBidi" w:hAnsiTheme="majorBidi" w:cstheme="majorBidi"/>
          <w:sz w:val="24"/>
          <w:szCs w:val="24"/>
          <w:u w:val="single"/>
        </w:rPr>
        <w:t>Non-oil trade between the UAE and Japan</w:t>
      </w:r>
      <w:r w:rsidRPr="00CC362F">
        <w:rPr>
          <w:rFonts w:asciiTheme="majorBidi" w:hAnsiTheme="majorBidi" w:cstheme="majorBidi"/>
          <w:sz w:val="24"/>
          <w:szCs w:val="24"/>
        </w:rPr>
        <w:t xml:space="preserve"> reached </w:t>
      </w:r>
      <w:r>
        <w:rPr>
          <w:rFonts w:asciiTheme="majorBidi" w:hAnsiTheme="majorBidi" w:cstheme="majorBidi"/>
          <w:sz w:val="24"/>
          <w:szCs w:val="24"/>
        </w:rPr>
        <w:t xml:space="preserve">13.3 billion USD in 2021, with a 23% </w:t>
      </w:r>
      <w:r w:rsidRPr="00CC362F">
        <w:rPr>
          <w:rFonts w:asciiTheme="majorBidi" w:hAnsiTheme="majorBidi" w:cstheme="majorBidi"/>
          <w:sz w:val="24"/>
          <w:szCs w:val="24"/>
        </w:rPr>
        <w:t>increase over 2020</w:t>
      </w:r>
      <w:r>
        <w:rPr>
          <w:rFonts w:asciiTheme="majorBidi" w:hAnsiTheme="majorBidi" w:cstheme="majorBidi"/>
          <w:sz w:val="24"/>
          <w:szCs w:val="24"/>
        </w:rPr>
        <w:t xml:space="preserve">. </w:t>
      </w:r>
      <w:r w:rsidRPr="000F24CD">
        <w:rPr>
          <w:rFonts w:asciiTheme="majorBidi" w:hAnsiTheme="majorBidi" w:cstheme="majorBidi"/>
          <w:b/>
          <w:bCs/>
          <w:sz w:val="24"/>
          <w:szCs w:val="24"/>
        </w:rPr>
        <w:t>Non-oil trade between the UAE and Japan </w:t>
      </w:r>
      <w:r>
        <w:rPr>
          <w:rFonts w:asciiTheme="majorBidi" w:hAnsiTheme="majorBidi" w:cstheme="majorBidi"/>
          <w:b/>
          <w:bCs/>
          <w:sz w:val="24"/>
          <w:szCs w:val="24"/>
        </w:rPr>
        <w:t xml:space="preserve">is </w:t>
      </w:r>
      <w:r w:rsidRPr="000F24CD">
        <w:rPr>
          <w:rFonts w:asciiTheme="majorBidi" w:hAnsiTheme="majorBidi" w:cstheme="majorBidi"/>
          <w:b/>
          <w:bCs/>
          <w:sz w:val="24"/>
          <w:szCs w:val="24"/>
        </w:rPr>
        <w:t>estimated at 15 billion US dollars in 2022, a 14% increase compared to 2021.</w:t>
      </w:r>
      <w:r>
        <w:rPr>
          <w:rFonts w:asciiTheme="majorBidi" w:hAnsiTheme="majorBidi" w:cstheme="majorBidi"/>
          <w:b/>
          <w:bCs/>
          <w:sz w:val="24"/>
          <w:szCs w:val="24"/>
        </w:rPr>
        <w:t xml:space="preserve"> </w:t>
      </w:r>
    </w:p>
    <w:p w14:paraId="36B68F4F" w14:textId="77777777" w:rsidR="005F6F96" w:rsidRDefault="000514C2" w:rsidP="005F6F96">
      <w:pPr>
        <w:pStyle w:val="ListParagraph"/>
        <w:numPr>
          <w:ilvl w:val="0"/>
          <w:numId w:val="17"/>
        </w:numPr>
        <w:spacing w:after="0" w:line="360" w:lineRule="auto"/>
        <w:jc w:val="both"/>
        <w:rPr>
          <w:rFonts w:asciiTheme="majorBidi" w:hAnsiTheme="majorBidi" w:cstheme="majorBidi"/>
          <w:sz w:val="24"/>
          <w:szCs w:val="24"/>
        </w:rPr>
      </w:pPr>
      <w:r w:rsidRPr="006118E5">
        <w:rPr>
          <w:rFonts w:asciiTheme="majorBidi" w:hAnsiTheme="majorBidi" w:cstheme="majorBidi"/>
          <w:sz w:val="24"/>
          <w:szCs w:val="24"/>
        </w:rPr>
        <w:t xml:space="preserve">In 2022 </w:t>
      </w:r>
      <w:r w:rsidRPr="000F24CD">
        <w:rPr>
          <w:rFonts w:asciiTheme="majorBidi" w:hAnsiTheme="majorBidi" w:cstheme="majorBidi"/>
          <w:sz w:val="24"/>
          <w:szCs w:val="24"/>
        </w:rPr>
        <w:t>the exports of Japan were mainly from </w:t>
      </w:r>
      <w:hyperlink r:id="rId12" w:history="1">
        <w:r w:rsidRPr="000F24CD">
          <w:rPr>
            <w:rFonts w:asciiTheme="majorBidi" w:hAnsiTheme="majorBidi" w:cstheme="majorBidi"/>
            <w:sz w:val="24"/>
            <w:szCs w:val="24"/>
          </w:rPr>
          <w:t>Aichi</w:t>
        </w:r>
      </w:hyperlink>
      <w:r w:rsidRPr="000F24CD">
        <w:rPr>
          <w:rFonts w:asciiTheme="majorBidi" w:hAnsiTheme="majorBidi" w:cstheme="majorBidi"/>
          <w:sz w:val="24"/>
          <w:szCs w:val="24"/>
        </w:rPr>
        <w:t xml:space="preserve">, Tokyo, </w:t>
      </w:r>
      <w:hyperlink r:id="rId13" w:history="1">
        <w:r w:rsidRPr="000F24CD">
          <w:rPr>
            <w:rFonts w:asciiTheme="majorBidi" w:hAnsiTheme="majorBidi" w:cstheme="majorBidi"/>
            <w:sz w:val="24"/>
            <w:szCs w:val="24"/>
          </w:rPr>
          <w:t>Kanagawa</w:t>
        </w:r>
      </w:hyperlink>
      <w:r w:rsidRPr="000F24CD">
        <w:rPr>
          <w:rFonts w:asciiTheme="majorBidi" w:hAnsiTheme="majorBidi" w:cstheme="majorBidi"/>
          <w:sz w:val="24"/>
          <w:szCs w:val="24"/>
        </w:rPr>
        <w:t>, </w:t>
      </w:r>
      <w:hyperlink r:id="rId14" w:history="1">
        <w:r w:rsidRPr="000F24CD">
          <w:rPr>
            <w:rFonts w:asciiTheme="majorBidi" w:hAnsiTheme="majorBidi" w:cstheme="majorBidi"/>
            <w:sz w:val="24"/>
            <w:szCs w:val="24"/>
          </w:rPr>
          <w:t>Fukuoka</w:t>
        </w:r>
      </w:hyperlink>
      <w:r w:rsidRPr="000F24CD">
        <w:rPr>
          <w:rFonts w:asciiTheme="majorBidi" w:hAnsiTheme="majorBidi" w:cstheme="majorBidi"/>
          <w:sz w:val="24"/>
          <w:szCs w:val="24"/>
        </w:rPr>
        <w:t xml:space="preserve"> and Osaka, while UAE’s export destinations were mainly to prefectures like Chiba, Kagoshima, Kanagawa, Osaka, Tokyo and Wakayama. </w:t>
      </w:r>
    </w:p>
    <w:p w14:paraId="0856F703" w14:textId="77777777" w:rsidR="005F6F96" w:rsidRDefault="005F6F96" w:rsidP="005C72EF">
      <w:pPr>
        <w:pStyle w:val="ListParagraph"/>
        <w:spacing w:after="0" w:line="360" w:lineRule="auto"/>
        <w:jc w:val="both"/>
        <w:rPr>
          <w:rFonts w:asciiTheme="majorBidi" w:hAnsiTheme="majorBidi" w:cstheme="majorBidi"/>
          <w:sz w:val="24"/>
          <w:szCs w:val="24"/>
        </w:rPr>
      </w:pPr>
    </w:p>
    <w:p w14:paraId="2835A00F" w14:textId="5C5C3ABC" w:rsidR="005F6F96" w:rsidRPr="005C72EF" w:rsidRDefault="005F6F96" w:rsidP="005C72EF">
      <w:pPr>
        <w:spacing w:after="0" w:line="360" w:lineRule="auto"/>
        <w:jc w:val="both"/>
        <w:rPr>
          <w:rFonts w:asciiTheme="majorBidi" w:hAnsiTheme="majorBidi" w:cstheme="majorBidi"/>
          <w:sz w:val="24"/>
          <w:szCs w:val="24"/>
        </w:rPr>
      </w:pPr>
    </w:p>
    <w:p w14:paraId="03E3A5CB" w14:textId="618C0C0E" w:rsidR="005F6F96" w:rsidRPr="005F6F96" w:rsidRDefault="005F6F96" w:rsidP="005F6F96">
      <w:pPr>
        <w:pStyle w:val="ListParagraph"/>
        <w:numPr>
          <w:ilvl w:val="0"/>
          <w:numId w:val="17"/>
        </w:numPr>
        <w:spacing w:after="0" w:line="360" w:lineRule="auto"/>
        <w:jc w:val="both"/>
        <w:rPr>
          <w:rFonts w:asciiTheme="majorBidi" w:hAnsiTheme="majorBidi" w:cstheme="majorBidi"/>
          <w:sz w:val="24"/>
          <w:szCs w:val="24"/>
        </w:rPr>
      </w:pPr>
      <w:r w:rsidRPr="003B7F87">
        <w:rPr>
          <w:rFonts w:asciiTheme="majorBidi" w:hAnsiTheme="majorBidi" w:cstheme="majorBidi"/>
          <w:sz w:val="24"/>
          <w:szCs w:val="24"/>
          <w:u w:val="single"/>
        </w:rPr>
        <w:t>Japan is one of the UAE’s largest investment partners</w:t>
      </w:r>
      <w:r w:rsidRPr="005F6F96">
        <w:rPr>
          <w:rFonts w:asciiTheme="majorBidi" w:hAnsiTheme="majorBidi" w:cstheme="majorBidi"/>
          <w:sz w:val="24"/>
          <w:szCs w:val="24"/>
        </w:rPr>
        <w:t xml:space="preserve"> in both outbound and inbound investments, as Japanese investments in the country exceed</w:t>
      </w:r>
      <w:r>
        <w:rPr>
          <w:rFonts w:asciiTheme="majorBidi" w:hAnsiTheme="majorBidi" w:cstheme="majorBidi"/>
          <w:sz w:val="24"/>
          <w:szCs w:val="24"/>
        </w:rPr>
        <w:t>ed</w:t>
      </w:r>
      <w:r w:rsidRPr="005F6F96">
        <w:rPr>
          <w:rFonts w:asciiTheme="majorBidi" w:hAnsiTheme="majorBidi" w:cstheme="majorBidi"/>
          <w:sz w:val="24"/>
          <w:szCs w:val="24"/>
        </w:rPr>
        <w:t xml:space="preserve"> </w:t>
      </w:r>
      <w:r>
        <w:rPr>
          <w:rFonts w:asciiTheme="majorBidi" w:hAnsiTheme="majorBidi" w:cstheme="majorBidi"/>
          <w:sz w:val="24"/>
          <w:szCs w:val="24"/>
        </w:rPr>
        <w:t xml:space="preserve">4 billion USD in 2021, accounting for 3% </w:t>
      </w:r>
      <w:r w:rsidRPr="005F6F96">
        <w:rPr>
          <w:rFonts w:asciiTheme="majorBidi" w:hAnsiTheme="majorBidi" w:cstheme="majorBidi"/>
          <w:sz w:val="24"/>
          <w:szCs w:val="24"/>
        </w:rPr>
        <w:t xml:space="preserve">of total FDI inflows and more than </w:t>
      </w:r>
      <w:r>
        <w:rPr>
          <w:rFonts w:asciiTheme="majorBidi" w:hAnsiTheme="majorBidi" w:cstheme="majorBidi"/>
          <w:sz w:val="24"/>
          <w:szCs w:val="24"/>
        </w:rPr>
        <w:t xml:space="preserve">8% </w:t>
      </w:r>
      <w:r w:rsidRPr="005F6F96">
        <w:rPr>
          <w:rFonts w:asciiTheme="majorBidi" w:hAnsiTheme="majorBidi" w:cstheme="majorBidi"/>
          <w:sz w:val="24"/>
          <w:szCs w:val="24"/>
        </w:rPr>
        <w:t>of investments from Asian countries.</w:t>
      </w:r>
    </w:p>
    <w:p w14:paraId="352F7F8C" w14:textId="4E0E0787" w:rsidR="00BA17C4" w:rsidRPr="00751D9E" w:rsidRDefault="00EC2E5A" w:rsidP="00EC2E5A">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As of October 2022, the value of Japanese investments in the UAE has exceeded 14 billion USD.</w:t>
      </w:r>
    </w:p>
    <w:p w14:paraId="0435EA39" w14:textId="79CCAC2C" w:rsidR="00751D9E" w:rsidRPr="00EC2E5A" w:rsidRDefault="00590EAA" w:rsidP="005F6F96">
      <w:pPr>
        <w:pStyle w:val="ListParagraph"/>
        <w:numPr>
          <w:ilvl w:val="0"/>
          <w:numId w:val="21"/>
        </w:numPr>
        <w:spacing w:line="360" w:lineRule="auto"/>
        <w:jc w:val="both"/>
        <w:rPr>
          <w:rFonts w:asciiTheme="majorBidi" w:hAnsiTheme="majorBidi" w:cstheme="majorBidi"/>
          <w:sz w:val="24"/>
          <w:szCs w:val="24"/>
        </w:rPr>
      </w:pPr>
      <w:r w:rsidRPr="00EC2E5A">
        <w:rPr>
          <w:rFonts w:asciiTheme="majorBidi" w:hAnsiTheme="majorBidi" w:cstheme="majorBidi" w:hint="cs"/>
          <w:sz w:val="24"/>
          <w:szCs w:val="24"/>
        </w:rPr>
        <w:t xml:space="preserve">Japan’s investment in the UAE is focused on sectors of </w:t>
      </w:r>
      <w:r w:rsidR="00915F01" w:rsidRPr="00EC2E5A">
        <w:rPr>
          <w:rFonts w:asciiTheme="majorBidi" w:hAnsiTheme="majorBidi" w:cstheme="majorBidi"/>
          <w:sz w:val="24"/>
          <w:szCs w:val="24"/>
        </w:rPr>
        <w:t xml:space="preserve">petroleum &amp; gas, construction, </w:t>
      </w:r>
      <w:r w:rsidRPr="00EC2E5A">
        <w:rPr>
          <w:rFonts w:asciiTheme="majorBidi" w:hAnsiTheme="majorBidi" w:cstheme="majorBidi" w:hint="cs"/>
          <w:sz w:val="24"/>
          <w:szCs w:val="24"/>
        </w:rPr>
        <w:t xml:space="preserve">technology, renewable energy, </w:t>
      </w:r>
      <w:r w:rsidR="00915F01" w:rsidRPr="00EC2E5A">
        <w:rPr>
          <w:rFonts w:asciiTheme="majorBidi" w:hAnsiTheme="majorBidi" w:cstheme="majorBidi" w:hint="cs"/>
          <w:sz w:val="24"/>
          <w:szCs w:val="24"/>
        </w:rPr>
        <w:t xml:space="preserve">wholesale </w:t>
      </w:r>
      <w:r w:rsidR="00915F01" w:rsidRPr="00EC2E5A">
        <w:rPr>
          <w:rFonts w:asciiTheme="majorBidi" w:hAnsiTheme="majorBidi" w:cstheme="majorBidi"/>
          <w:sz w:val="24"/>
          <w:szCs w:val="24"/>
        </w:rPr>
        <w:t>&amp;</w:t>
      </w:r>
      <w:r w:rsidR="00915F01" w:rsidRPr="00EC2E5A">
        <w:rPr>
          <w:rFonts w:asciiTheme="majorBidi" w:hAnsiTheme="majorBidi" w:cstheme="majorBidi" w:hint="cs"/>
          <w:sz w:val="24"/>
          <w:szCs w:val="24"/>
        </w:rPr>
        <w:t xml:space="preserve"> retail trade</w:t>
      </w:r>
      <w:r w:rsidR="00915F01" w:rsidRPr="00EC2E5A">
        <w:rPr>
          <w:rFonts w:asciiTheme="majorBidi" w:hAnsiTheme="majorBidi" w:cstheme="majorBidi"/>
          <w:sz w:val="24"/>
          <w:szCs w:val="24"/>
        </w:rPr>
        <w:t>,</w:t>
      </w:r>
      <w:r w:rsidR="00915F01" w:rsidRPr="00EC2E5A">
        <w:rPr>
          <w:rFonts w:asciiTheme="majorBidi" w:hAnsiTheme="majorBidi" w:cstheme="majorBidi" w:hint="cs"/>
          <w:sz w:val="24"/>
          <w:szCs w:val="24"/>
        </w:rPr>
        <w:t xml:space="preserve"> </w:t>
      </w:r>
      <w:r w:rsidRPr="00EC2E5A">
        <w:rPr>
          <w:rFonts w:asciiTheme="majorBidi" w:hAnsiTheme="majorBidi" w:cstheme="majorBidi" w:hint="cs"/>
          <w:sz w:val="24"/>
          <w:szCs w:val="24"/>
        </w:rPr>
        <w:t>transportation</w:t>
      </w:r>
      <w:r w:rsidR="00915F01" w:rsidRPr="00EC2E5A">
        <w:rPr>
          <w:rFonts w:asciiTheme="majorBidi" w:hAnsiTheme="majorBidi" w:cstheme="majorBidi"/>
          <w:sz w:val="24"/>
          <w:szCs w:val="24"/>
        </w:rPr>
        <w:t xml:space="preserve"> &amp; </w:t>
      </w:r>
      <w:r w:rsidR="005F6F96" w:rsidRPr="00EC2E5A">
        <w:rPr>
          <w:rFonts w:asciiTheme="majorBidi" w:hAnsiTheme="majorBidi" w:cstheme="majorBidi"/>
          <w:sz w:val="24"/>
          <w:szCs w:val="24"/>
        </w:rPr>
        <w:t>logistics</w:t>
      </w:r>
      <w:r w:rsidRPr="00EC2E5A">
        <w:rPr>
          <w:rFonts w:asciiTheme="majorBidi" w:hAnsiTheme="majorBidi" w:cstheme="majorBidi" w:hint="cs"/>
          <w:sz w:val="24"/>
          <w:szCs w:val="24"/>
        </w:rPr>
        <w:t xml:space="preserve">, </w:t>
      </w:r>
      <w:r w:rsidR="00915F01" w:rsidRPr="00EC2E5A">
        <w:rPr>
          <w:rFonts w:asciiTheme="majorBidi" w:hAnsiTheme="majorBidi" w:cstheme="majorBidi"/>
          <w:sz w:val="24"/>
          <w:szCs w:val="24"/>
        </w:rPr>
        <w:t xml:space="preserve">real estate, </w:t>
      </w:r>
      <w:r w:rsidRPr="00EC2E5A">
        <w:rPr>
          <w:rFonts w:asciiTheme="majorBidi" w:hAnsiTheme="majorBidi" w:cstheme="majorBidi" w:hint="cs"/>
          <w:sz w:val="24"/>
          <w:szCs w:val="24"/>
        </w:rPr>
        <w:t xml:space="preserve">healthcare, </w:t>
      </w:r>
      <w:r w:rsidR="00915F01" w:rsidRPr="00EC2E5A">
        <w:rPr>
          <w:rFonts w:asciiTheme="majorBidi" w:hAnsiTheme="majorBidi" w:cstheme="majorBidi"/>
          <w:sz w:val="24"/>
          <w:szCs w:val="24"/>
        </w:rPr>
        <w:t xml:space="preserve">manufacturing </w:t>
      </w:r>
      <w:r w:rsidRPr="00EC2E5A">
        <w:rPr>
          <w:rFonts w:asciiTheme="majorBidi" w:hAnsiTheme="majorBidi" w:cstheme="majorBidi" w:hint="cs"/>
          <w:sz w:val="24"/>
          <w:szCs w:val="24"/>
        </w:rPr>
        <w:t>of polyethylene and polypropylene.</w:t>
      </w:r>
      <w:r w:rsidR="00766157" w:rsidRPr="00EC2E5A">
        <w:rPr>
          <w:rFonts w:asciiTheme="majorBidi" w:hAnsiTheme="majorBidi" w:cstheme="majorBidi"/>
          <w:sz w:val="24"/>
          <w:szCs w:val="24"/>
        </w:rPr>
        <w:t xml:space="preserve"> </w:t>
      </w:r>
    </w:p>
    <w:p w14:paraId="19381DA7" w14:textId="3BED9776" w:rsidR="008753C6" w:rsidRPr="008753C6" w:rsidRDefault="008753C6" w:rsidP="006F13EB">
      <w:pPr>
        <w:pStyle w:val="ListParagraph"/>
        <w:numPr>
          <w:ilvl w:val="0"/>
          <w:numId w:val="17"/>
        </w:numPr>
        <w:spacing w:line="360" w:lineRule="auto"/>
        <w:jc w:val="both"/>
        <w:rPr>
          <w:rFonts w:asciiTheme="majorBidi" w:hAnsiTheme="majorBidi" w:cstheme="majorBidi"/>
          <w:sz w:val="24"/>
          <w:szCs w:val="24"/>
        </w:rPr>
      </w:pPr>
      <w:r w:rsidRPr="003B7F87">
        <w:rPr>
          <w:rFonts w:asciiTheme="majorBidi" w:hAnsiTheme="majorBidi" w:cstheme="majorBidi"/>
          <w:sz w:val="24"/>
          <w:szCs w:val="24"/>
          <w:u w:val="single"/>
        </w:rPr>
        <w:t>The major scientific achievement in space sector represents a milestone in the UAE-Japan</w:t>
      </w:r>
      <w:r w:rsidRPr="007F6082">
        <w:rPr>
          <w:rFonts w:asciiTheme="majorBidi" w:hAnsiTheme="majorBidi" w:cstheme="majorBidi"/>
          <w:sz w:val="24"/>
          <w:szCs w:val="24"/>
        </w:rPr>
        <w:t xml:space="preserve"> </w:t>
      </w:r>
      <w:r>
        <w:rPr>
          <w:rFonts w:asciiTheme="majorBidi" w:hAnsiTheme="majorBidi" w:cstheme="majorBidi"/>
          <w:sz w:val="24"/>
          <w:szCs w:val="24"/>
        </w:rPr>
        <w:t xml:space="preserve">relations. Inspired by the joint project </w:t>
      </w:r>
      <w:r w:rsidRPr="008753C6">
        <w:rPr>
          <w:rFonts w:asciiTheme="majorBidi" w:hAnsiTheme="majorBidi" w:cstheme="majorBidi"/>
          <w:sz w:val="24"/>
          <w:szCs w:val="24"/>
        </w:rPr>
        <w:t>Mars Mission “Hope Probe”, HAKUTO-R</w:t>
      </w:r>
      <w:r w:rsidRPr="00E31482">
        <w:rPr>
          <w:rFonts w:asciiTheme="majorBidi" w:hAnsiTheme="majorBidi" w:cstheme="majorBidi"/>
          <w:sz w:val="24"/>
          <w:szCs w:val="24"/>
        </w:rPr>
        <w:t xml:space="preserve">, a lander built by Japanese company iSpace </w:t>
      </w:r>
      <w:r>
        <w:rPr>
          <w:rFonts w:asciiTheme="majorBidi" w:hAnsiTheme="majorBidi" w:cstheme="majorBidi"/>
          <w:sz w:val="24"/>
          <w:szCs w:val="24"/>
        </w:rPr>
        <w:t>lifted off</w:t>
      </w:r>
      <w:r w:rsidR="0049581B">
        <w:rPr>
          <w:rFonts w:asciiTheme="majorBidi" w:hAnsiTheme="majorBidi" w:cstheme="majorBidi"/>
          <w:sz w:val="24"/>
          <w:szCs w:val="24"/>
        </w:rPr>
        <w:t xml:space="preserve"> </w:t>
      </w:r>
      <w:r w:rsidRPr="00E31482">
        <w:rPr>
          <w:rFonts w:asciiTheme="majorBidi" w:hAnsiTheme="majorBidi" w:cstheme="majorBidi"/>
          <w:sz w:val="24"/>
          <w:szCs w:val="24"/>
        </w:rPr>
        <w:t xml:space="preserve">UAE’s </w:t>
      </w:r>
      <w:r w:rsidRPr="008753C6">
        <w:rPr>
          <w:rFonts w:asciiTheme="majorBidi" w:hAnsiTheme="majorBidi" w:cstheme="majorBidi"/>
          <w:sz w:val="24"/>
          <w:szCs w:val="24"/>
        </w:rPr>
        <w:t xml:space="preserve">Rashid moon rover to the lunar surface </w:t>
      </w:r>
      <w:r>
        <w:rPr>
          <w:rFonts w:asciiTheme="majorBidi" w:hAnsiTheme="majorBidi" w:cstheme="majorBidi"/>
          <w:sz w:val="24"/>
          <w:szCs w:val="24"/>
        </w:rPr>
        <w:t>in December 2022</w:t>
      </w:r>
      <w:r w:rsidRPr="00E31482">
        <w:rPr>
          <w:rFonts w:asciiTheme="majorBidi" w:hAnsiTheme="majorBidi" w:cstheme="majorBidi"/>
          <w:sz w:val="24"/>
          <w:szCs w:val="24"/>
        </w:rPr>
        <w:t xml:space="preserve">. </w:t>
      </w:r>
      <w:r>
        <w:rPr>
          <w:rFonts w:asciiTheme="majorBidi" w:hAnsiTheme="majorBidi" w:cstheme="majorBidi"/>
          <w:sz w:val="24"/>
          <w:szCs w:val="24"/>
        </w:rPr>
        <w:t>The</w:t>
      </w:r>
      <w:r w:rsidRPr="007F6082">
        <w:rPr>
          <w:rFonts w:asciiTheme="majorBidi" w:hAnsiTheme="majorBidi" w:cstheme="majorBidi"/>
          <w:sz w:val="24"/>
          <w:szCs w:val="24"/>
        </w:rPr>
        <w:t xml:space="preserve"> Emirates Lunar Mission </w:t>
      </w:r>
      <w:r>
        <w:rPr>
          <w:rFonts w:asciiTheme="majorBidi" w:hAnsiTheme="majorBidi" w:cstheme="majorBidi"/>
          <w:sz w:val="24"/>
          <w:szCs w:val="24"/>
        </w:rPr>
        <w:t>is</w:t>
      </w:r>
      <w:r w:rsidRPr="007F6082">
        <w:rPr>
          <w:rFonts w:asciiTheme="majorBidi" w:hAnsiTheme="majorBidi" w:cstheme="majorBidi"/>
          <w:sz w:val="24"/>
          <w:szCs w:val="24"/>
        </w:rPr>
        <w:t xml:space="preserve"> the </w:t>
      </w:r>
      <w:r w:rsidRPr="008753C6">
        <w:rPr>
          <w:rFonts w:asciiTheme="majorBidi" w:hAnsiTheme="majorBidi" w:cstheme="majorBidi"/>
          <w:sz w:val="24"/>
          <w:szCs w:val="24"/>
        </w:rPr>
        <w:t>first moon landing for the Arab world and Japan.</w:t>
      </w:r>
    </w:p>
    <w:p w14:paraId="2A7C650F" w14:textId="4557F105" w:rsidR="006F13EB" w:rsidRDefault="006F13EB" w:rsidP="006F13EB">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6F13EB">
        <w:rPr>
          <w:rFonts w:asciiTheme="majorBidi" w:hAnsiTheme="majorBidi" w:cstheme="majorBidi"/>
          <w:sz w:val="24"/>
          <w:szCs w:val="24"/>
        </w:rPr>
        <w:t>UAE and Japan have signed a hydrogen cooperation agreement</w:t>
      </w:r>
      <w:r w:rsidR="0049581B">
        <w:rPr>
          <w:rFonts w:asciiTheme="majorBidi" w:hAnsiTheme="majorBidi" w:cstheme="majorBidi"/>
          <w:sz w:val="24"/>
          <w:szCs w:val="24"/>
        </w:rPr>
        <w:t>s</w:t>
      </w:r>
      <w:r w:rsidRPr="006F13EB">
        <w:rPr>
          <w:rFonts w:asciiTheme="majorBidi" w:hAnsiTheme="majorBidi" w:cstheme="majorBidi"/>
          <w:sz w:val="24"/>
          <w:szCs w:val="24"/>
        </w:rPr>
        <w:t xml:space="preserve">, aiming to expand the joint areas of collaboration and enhance investment in the hydrogen sector, supporting the ambition to accelerate the energy transition towards a low-carbon future. </w:t>
      </w:r>
    </w:p>
    <w:p w14:paraId="071A5B95" w14:textId="1271193C" w:rsidR="008753C6" w:rsidRPr="006F13EB" w:rsidRDefault="006F13EB" w:rsidP="006F13EB">
      <w:pPr>
        <w:pStyle w:val="ListParagraph"/>
        <w:numPr>
          <w:ilvl w:val="0"/>
          <w:numId w:val="17"/>
        </w:numPr>
        <w:spacing w:line="360" w:lineRule="auto"/>
        <w:jc w:val="both"/>
        <w:rPr>
          <w:rFonts w:asciiTheme="majorBidi" w:hAnsiTheme="majorBidi" w:cstheme="majorBidi"/>
          <w:sz w:val="24"/>
          <w:szCs w:val="24"/>
        </w:rPr>
      </w:pPr>
      <w:r w:rsidRPr="003B7F87">
        <w:rPr>
          <w:rFonts w:asciiTheme="majorBidi" w:hAnsiTheme="majorBidi" w:cstheme="majorBidi"/>
          <w:sz w:val="24"/>
          <w:szCs w:val="24"/>
          <w:u w:val="single"/>
        </w:rPr>
        <w:t>Such partnerships support the direction of the UAE to align with the COP28 conference</w:t>
      </w:r>
      <w:r w:rsidRPr="006F13EB">
        <w:rPr>
          <w:rFonts w:asciiTheme="majorBidi" w:hAnsiTheme="majorBidi" w:cstheme="majorBidi"/>
          <w:sz w:val="24"/>
          <w:szCs w:val="24"/>
        </w:rPr>
        <w:t xml:space="preserve"> </w:t>
      </w:r>
      <w:r>
        <w:rPr>
          <w:rFonts w:asciiTheme="majorBidi" w:hAnsiTheme="majorBidi" w:cstheme="majorBidi"/>
          <w:sz w:val="24"/>
          <w:szCs w:val="24"/>
        </w:rPr>
        <w:t xml:space="preserve">to be hosted </w:t>
      </w:r>
      <w:r w:rsidRPr="006F13EB">
        <w:rPr>
          <w:rFonts w:asciiTheme="majorBidi" w:hAnsiTheme="majorBidi" w:cstheme="majorBidi"/>
          <w:sz w:val="24"/>
          <w:szCs w:val="24"/>
        </w:rPr>
        <w:t xml:space="preserve">in </w:t>
      </w:r>
      <w:r>
        <w:rPr>
          <w:rFonts w:asciiTheme="majorBidi" w:hAnsiTheme="majorBidi" w:cstheme="majorBidi"/>
          <w:sz w:val="24"/>
          <w:szCs w:val="24"/>
        </w:rPr>
        <w:t xml:space="preserve">Dubai </w:t>
      </w:r>
      <w:r w:rsidRPr="006F13EB">
        <w:rPr>
          <w:rFonts w:asciiTheme="majorBidi" w:hAnsiTheme="majorBidi" w:cstheme="majorBidi"/>
          <w:sz w:val="24"/>
          <w:szCs w:val="24"/>
        </w:rPr>
        <w:t xml:space="preserve">and the Paris Agreement on Climate Change, as well as contributing to forming the shift towards clean, renewable energy by relying on hydrogen production. </w:t>
      </w:r>
    </w:p>
    <w:p w14:paraId="145EA272" w14:textId="77777777" w:rsidR="0026468A" w:rsidRDefault="0026468A" w:rsidP="006F13EB">
      <w:pPr>
        <w:pStyle w:val="ListParagraph"/>
        <w:numPr>
          <w:ilvl w:val="0"/>
          <w:numId w:val="17"/>
        </w:numPr>
        <w:spacing w:line="360" w:lineRule="auto"/>
        <w:jc w:val="both"/>
        <w:rPr>
          <w:rFonts w:asciiTheme="majorBidi" w:hAnsiTheme="majorBidi" w:cstheme="majorBidi"/>
          <w:sz w:val="24"/>
          <w:szCs w:val="24"/>
        </w:rPr>
      </w:pPr>
      <w:r w:rsidRPr="0026468A">
        <w:rPr>
          <w:rFonts w:asciiTheme="majorBidi" w:hAnsiTheme="majorBidi" w:cstheme="majorBidi"/>
          <w:sz w:val="24"/>
          <w:szCs w:val="24"/>
        </w:rPr>
        <w:t xml:space="preserve">Japan considers the UAE as a safe, stable, reliable and strategic partner in various industry sectors. More than 4,000 Japanese nationals live and work in the UAE, the largest number in the Middle East and North Africa. </w:t>
      </w:r>
    </w:p>
    <w:p w14:paraId="17525F4E" w14:textId="45D6EB56" w:rsidR="00EC2E5A" w:rsidRPr="00436BB9" w:rsidRDefault="0026468A" w:rsidP="00436BB9">
      <w:pPr>
        <w:pStyle w:val="ListParagraph"/>
        <w:numPr>
          <w:ilvl w:val="0"/>
          <w:numId w:val="17"/>
        </w:numPr>
        <w:spacing w:line="276" w:lineRule="auto"/>
        <w:jc w:val="both"/>
        <w:rPr>
          <w:rFonts w:asciiTheme="majorBidi" w:hAnsiTheme="majorBidi" w:cstheme="majorBidi"/>
          <w:b/>
          <w:bCs/>
          <w:sz w:val="26"/>
          <w:szCs w:val="26"/>
        </w:rPr>
      </w:pPr>
      <w:r w:rsidRPr="0026468A">
        <w:rPr>
          <w:rFonts w:asciiTheme="majorBidi" w:hAnsiTheme="majorBidi" w:cstheme="majorBidi"/>
          <w:sz w:val="24"/>
          <w:szCs w:val="24"/>
        </w:rPr>
        <w:t xml:space="preserve">In addition, </w:t>
      </w:r>
      <w:r>
        <w:rPr>
          <w:rFonts w:asciiTheme="majorBidi" w:hAnsiTheme="majorBidi" w:cstheme="majorBidi"/>
          <w:sz w:val="24"/>
          <w:szCs w:val="24"/>
        </w:rPr>
        <w:t>t</w:t>
      </w:r>
      <w:r w:rsidRPr="00DD1AD8">
        <w:rPr>
          <w:rFonts w:asciiTheme="majorBidi" w:hAnsiTheme="majorBidi" w:cstheme="majorBidi" w:hint="cs"/>
          <w:sz w:val="24"/>
          <w:szCs w:val="24"/>
        </w:rPr>
        <w:t xml:space="preserve">he UAE hosts </w:t>
      </w:r>
      <w:r>
        <w:rPr>
          <w:rFonts w:asciiTheme="majorBidi" w:hAnsiTheme="majorBidi" w:cstheme="majorBidi"/>
          <w:sz w:val="24"/>
          <w:szCs w:val="24"/>
        </w:rPr>
        <w:t xml:space="preserve">around </w:t>
      </w:r>
      <w:r w:rsidRPr="00344D30">
        <w:rPr>
          <w:rFonts w:asciiTheme="majorBidi" w:hAnsiTheme="majorBidi" w:cstheme="majorBidi"/>
          <w:sz w:val="24"/>
          <w:szCs w:val="24"/>
        </w:rPr>
        <w:t>340</w:t>
      </w:r>
      <w:r w:rsidRPr="00344D30">
        <w:rPr>
          <w:rFonts w:asciiTheme="majorBidi" w:hAnsiTheme="majorBidi" w:cstheme="majorBidi" w:hint="cs"/>
          <w:sz w:val="24"/>
          <w:szCs w:val="24"/>
        </w:rPr>
        <w:t xml:space="preserve"> Japanese companies and </w:t>
      </w:r>
      <w:r w:rsidRPr="00344D30">
        <w:rPr>
          <w:rFonts w:asciiTheme="majorBidi" w:hAnsiTheme="majorBidi" w:cstheme="majorBidi"/>
          <w:sz w:val="24"/>
          <w:szCs w:val="24"/>
        </w:rPr>
        <w:t>13,400</w:t>
      </w:r>
      <w:r w:rsidRPr="00344D30">
        <w:rPr>
          <w:rFonts w:asciiTheme="majorBidi" w:hAnsiTheme="majorBidi" w:cstheme="majorBidi" w:hint="cs"/>
          <w:sz w:val="24"/>
          <w:szCs w:val="24"/>
        </w:rPr>
        <w:t xml:space="preserve"> registered Japanese brands</w:t>
      </w:r>
      <w:r w:rsidRPr="00DD1AD8">
        <w:rPr>
          <w:rFonts w:asciiTheme="majorBidi" w:hAnsiTheme="majorBidi" w:cstheme="majorBidi" w:hint="cs"/>
          <w:sz w:val="24"/>
          <w:szCs w:val="24"/>
        </w:rPr>
        <w:t>, owed to the conducive investment environment</w:t>
      </w:r>
      <w:r>
        <w:rPr>
          <w:rFonts w:asciiTheme="majorBidi" w:hAnsiTheme="majorBidi" w:cstheme="majorBidi"/>
          <w:sz w:val="24"/>
          <w:szCs w:val="24"/>
        </w:rPr>
        <w:t>, including free zones.</w:t>
      </w:r>
    </w:p>
    <w:p w14:paraId="70EEB57F" w14:textId="63D4DE46" w:rsidR="00545DE3" w:rsidRPr="007663DE" w:rsidRDefault="00D45697" w:rsidP="00094916">
      <w:pPr>
        <w:spacing w:line="276" w:lineRule="auto"/>
        <w:rPr>
          <w:rFonts w:asciiTheme="majorBidi" w:hAnsiTheme="majorBidi" w:cstheme="majorBidi"/>
          <w:i/>
          <w:iCs/>
          <w:sz w:val="26"/>
          <w:szCs w:val="26"/>
          <w:u w:val="single"/>
        </w:rPr>
      </w:pPr>
      <w:r w:rsidRPr="007663DE">
        <w:rPr>
          <w:rFonts w:asciiTheme="majorBidi" w:hAnsiTheme="majorBidi" w:cstheme="majorBidi"/>
          <w:i/>
          <w:iCs/>
          <w:sz w:val="26"/>
          <w:szCs w:val="26"/>
          <w:u w:val="single"/>
        </w:rPr>
        <w:t>Number of Companies</w:t>
      </w:r>
    </w:p>
    <w:p w14:paraId="1DC717CC" w14:textId="57F9E954" w:rsidR="009B6C6E" w:rsidRDefault="009B6C6E" w:rsidP="00DD1AD8">
      <w:pPr>
        <w:spacing w:line="276" w:lineRule="auto"/>
        <w:jc w:val="both"/>
        <w:rPr>
          <w:rFonts w:asciiTheme="majorBidi" w:hAnsiTheme="majorBidi" w:cstheme="majorBidi"/>
          <w:b/>
          <w:bCs/>
          <w:sz w:val="26"/>
          <w:szCs w:val="26"/>
        </w:rPr>
      </w:pPr>
      <w:r>
        <w:rPr>
          <w:rFonts w:asciiTheme="majorBidi" w:hAnsiTheme="majorBidi" w:cstheme="majorBidi"/>
          <w:noProof/>
          <w:sz w:val="24"/>
          <w:szCs w:val="24"/>
          <w:lang w:val="en-US" w:eastAsia="en-US"/>
        </w:rPr>
        <mc:AlternateContent>
          <mc:Choice Requires="wps">
            <w:drawing>
              <wp:anchor distT="0" distB="0" distL="114300" distR="114300" simplePos="0" relativeHeight="251678720" behindDoc="0" locked="0" layoutInCell="1" allowOverlap="1" wp14:anchorId="27CABE17" wp14:editId="28F3D757">
                <wp:simplePos x="0" y="0"/>
                <wp:positionH relativeFrom="column">
                  <wp:posOffset>1471295</wp:posOffset>
                </wp:positionH>
                <wp:positionV relativeFrom="paragraph">
                  <wp:posOffset>5715</wp:posOffset>
                </wp:positionV>
                <wp:extent cx="2181225" cy="1143000"/>
                <wp:effectExtent l="0" t="0" r="28575" b="19050"/>
                <wp:wrapThrough wrapText="bothSides">
                  <wp:wrapPolygon edited="0">
                    <wp:start x="8112" y="0"/>
                    <wp:lineTo x="5848" y="360"/>
                    <wp:lineTo x="755" y="4320"/>
                    <wp:lineTo x="755" y="5760"/>
                    <wp:lineTo x="0" y="8280"/>
                    <wp:lineTo x="0" y="13680"/>
                    <wp:lineTo x="1509" y="17280"/>
                    <wp:lineTo x="1509" y="18000"/>
                    <wp:lineTo x="6603" y="21600"/>
                    <wp:lineTo x="7923" y="21600"/>
                    <wp:lineTo x="13771" y="21600"/>
                    <wp:lineTo x="15092" y="21600"/>
                    <wp:lineTo x="20185" y="18000"/>
                    <wp:lineTo x="20185" y="17280"/>
                    <wp:lineTo x="21694" y="14040"/>
                    <wp:lineTo x="21694" y="7920"/>
                    <wp:lineTo x="21128" y="4680"/>
                    <wp:lineTo x="15658" y="360"/>
                    <wp:lineTo x="13583" y="0"/>
                    <wp:lineTo x="8112" y="0"/>
                  </wp:wrapPolygon>
                </wp:wrapThrough>
                <wp:docPr id="26" name="Oval 26"/>
                <wp:cNvGraphicFramePr/>
                <a:graphic xmlns:a="http://schemas.openxmlformats.org/drawingml/2006/main">
                  <a:graphicData uri="http://schemas.microsoft.com/office/word/2010/wordprocessingShape">
                    <wps:wsp>
                      <wps:cNvSpPr/>
                      <wps:spPr>
                        <a:xfrm>
                          <a:off x="0" y="0"/>
                          <a:ext cx="2181225" cy="114300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4589290E" w14:textId="750A752E" w:rsidR="009B6C6E" w:rsidRPr="009B6C6E" w:rsidRDefault="003B7F87" w:rsidP="009B6C6E">
                            <w:pPr>
                              <w:jc w:val="center"/>
                              <w:rPr>
                                <w:b/>
                                <w:bCs/>
                                <w:color w:val="000000" w:themeColor="text1"/>
                                <w:sz w:val="28"/>
                                <w:szCs w:val="28"/>
                              </w:rPr>
                            </w:pPr>
                            <w:r>
                              <w:rPr>
                                <w:b/>
                                <w:bCs/>
                                <w:color w:val="000000" w:themeColor="text1"/>
                                <w:sz w:val="28"/>
                                <w:szCs w:val="28"/>
                              </w:rPr>
                              <w:t>6</w:t>
                            </w:r>
                          </w:p>
                          <w:p w14:paraId="39F8DEE5" w14:textId="642582ED" w:rsidR="009B6C6E" w:rsidRPr="009B6C6E" w:rsidRDefault="009B6C6E" w:rsidP="009B6C6E">
                            <w:pPr>
                              <w:jc w:val="center"/>
                              <w:rPr>
                                <w:b/>
                                <w:bCs/>
                                <w:color w:val="000000" w:themeColor="text1"/>
                                <w:sz w:val="24"/>
                                <w:szCs w:val="24"/>
                              </w:rPr>
                            </w:pPr>
                            <w:r w:rsidRPr="009B6C6E">
                              <w:rPr>
                                <w:b/>
                                <w:bCs/>
                                <w:color w:val="000000" w:themeColor="text1"/>
                                <w:sz w:val="24"/>
                                <w:szCs w:val="24"/>
                              </w:rPr>
                              <w:t xml:space="preserve">UAE </w:t>
                            </w:r>
                            <w:r>
                              <w:rPr>
                                <w:b/>
                                <w:bCs/>
                                <w:color w:val="000000" w:themeColor="text1"/>
                                <w:sz w:val="24"/>
                                <w:szCs w:val="24"/>
                              </w:rPr>
                              <w:t>c</w:t>
                            </w:r>
                            <w:r w:rsidRPr="009B6C6E">
                              <w:rPr>
                                <w:b/>
                                <w:bCs/>
                                <w:color w:val="000000" w:themeColor="text1"/>
                                <w:sz w:val="24"/>
                                <w:szCs w:val="24"/>
                              </w:rPr>
                              <w:t>ompanies in Japan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CABE17" id="Oval 26" o:spid="_x0000_s1026" style="position:absolute;left:0;text-align:left;margin-left:115.85pt;margin-top:.45pt;width:171.75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" fillcolor="white [3201]" strokecolor="#4472c4 [3204]" strokeweight="1pt">
                <v:stroke joinstyle="miter"/>
                <v:textbox>
                  <w:txbxContent>
                    <w:p w14:paraId="4589290E" w14:textId="750A752E" w:rsidR="009B6C6E" w:rsidRPr="009B6C6E" w:rsidRDefault="003B7F87" w:rsidP="009B6C6E">
                      <w:pPr>
                        <w:jc w:val="center"/>
                        <w:rPr>
                          <w:b/>
                          <w:bCs/>
                          <w:color w:val="000000" w:themeColor="text1"/>
                          <w:sz w:val="28"/>
                          <w:szCs w:val="28"/>
                        </w:rPr>
                      </w:pPr>
                      <w:r>
                        <w:rPr>
                          <w:b/>
                          <w:bCs/>
                          <w:color w:val="000000" w:themeColor="text1"/>
                          <w:sz w:val="28"/>
                          <w:szCs w:val="28"/>
                        </w:rPr>
                        <w:t>6</w:t>
                      </w:r>
                    </w:p>
                    <w:p w14:paraId="39F8DEE5" w14:textId="642582ED" w:rsidR="009B6C6E" w:rsidRPr="009B6C6E" w:rsidRDefault="009B6C6E" w:rsidP="009B6C6E">
                      <w:pPr>
                        <w:jc w:val="center"/>
                        <w:rPr>
                          <w:b/>
                          <w:bCs/>
                          <w:color w:val="000000" w:themeColor="text1"/>
                          <w:sz w:val="24"/>
                          <w:szCs w:val="24"/>
                        </w:rPr>
                      </w:pPr>
                      <w:r w:rsidRPr="009B6C6E">
                        <w:rPr>
                          <w:b/>
                          <w:bCs/>
                          <w:color w:val="000000" w:themeColor="text1"/>
                          <w:sz w:val="24"/>
                          <w:szCs w:val="24"/>
                        </w:rPr>
                        <w:t xml:space="preserve">UAE </w:t>
                      </w:r>
                      <w:r>
                        <w:rPr>
                          <w:b/>
                          <w:bCs/>
                          <w:color w:val="000000" w:themeColor="text1"/>
                          <w:sz w:val="24"/>
                          <w:szCs w:val="24"/>
                        </w:rPr>
                        <w:t>c</w:t>
                      </w:r>
                      <w:r w:rsidRPr="009B6C6E">
                        <w:rPr>
                          <w:b/>
                          <w:bCs/>
                          <w:color w:val="000000" w:themeColor="text1"/>
                          <w:sz w:val="24"/>
                          <w:szCs w:val="24"/>
                        </w:rPr>
                        <w:t>ompanies in Japan</w:t>
                      </w:r>
                    </w:p>
                  </w:txbxContent>
                </v:textbox>
                <w10:wrap type="through"/>
              </v:oval>
            </w:pict>
          </mc:Fallback>
        </mc:AlternateContent>
      </w:r>
    </w:p>
    <w:p w14:paraId="5E74C520" w14:textId="7980C256" w:rsidR="00E85316" w:rsidRPr="00866FD9" w:rsidRDefault="00E85316" w:rsidP="00E85316">
      <w:pPr>
        <w:rPr>
          <w:rFonts w:asciiTheme="majorBidi" w:hAnsiTheme="majorBidi" w:cstheme="majorBidi"/>
          <w:color w:val="000000" w:themeColor="text1"/>
          <w:sz w:val="24"/>
          <w:szCs w:val="24"/>
        </w:rPr>
      </w:pPr>
      <w:r w:rsidRPr="00FD4E6A">
        <w:rPr>
          <w:rFonts w:asciiTheme="majorBidi" w:hAnsiTheme="majorBidi" w:cstheme="majorBidi"/>
          <w:color w:val="C00000"/>
          <w:sz w:val="24"/>
          <w:szCs w:val="24"/>
        </w:rPr>
        <w:t xml:space="preserve">      </w:t>
      </w:r>
      <w:r w:rsidRPr="00866FD9">
        <w:rPr>
          <w:rFonts w:asciiTheme="majorBidi" w:hAnsiTheme="majorBidi" w:cstheme="majorBidi"/>
          <w:color w:val="000000" w:themeColor="text1"/>
          <w:sz w:val="24"/>
          <w:szCs w:val="24"/>
        </w:rPr>
        <w:t>Emirates Air</w:t>
      </w:r>
      <w:r w:rsidR="003B2DA7">
        <w:rPr>
          <w:rFonts w:asciiTheme="majorBidi" w:hAnsiTheme="majorBidi" w:cstheme="majorBidi"/>
          <w:color w:val="000000" w:themeColor="text1"/>
          <w:sz w:val="24"/>
          <w:szCs w:val="24"/>
        </w:rPr>
        <w:t>lines</w:t>
      </w:r>
      <w:r w:rsidRPr="00866FD9">
        <w:rPr>
          <w:rFonts w:asciiTheme="majorBidi" w:hAnsiTheme="majorBidi" w:cstheme="majorBidi"/>
          <w:color w:val="000000" w:themeColor="text1"/>
          <w:sz w:val="24"/>
          <w:szCs w:val="24"/>
        </w:rPr>
        <w:t xml:space="preserve"> Etihad Airways</w:t>
      </w:r>
    </w:p>
    <w:p w14:paraId="6F692635" w14:textId="01FDB5BD" w:rsidR="00E85316" w:rsidRPr="007F46BA" w:rsidRDefault="00E85316" w:rsidP="00E85316">
      <w:pPr>
        <w:rPr>
          <w:rFonts w:asciiTheme="majorBidi" w:hAnsiTheme="majorBidi" w:cstheme="majorBidi"/>
          <w:color w:val="000000" w:themeColor="text1"/>
          <w:sz w:val="24"/>
          <w:szCs w:val="24"/>
        </w:rPr>
      </w:pPr>
      <w:r w:rsidRPr="007F46BA">
        <w:rPr>
          <w:rFonts w:asciiTheme="majorBidi" w:hAnsiTheme="majorBidi" w:cstheme="majorBidi"/>
          <w:color w:val="000000" w:themeColor="text1"/>
          <w:sz w:val="24"/>
          <w:szCs w:val="24"/>
        </w:rPr>
        <w:t xml:space="preserve">      </w:t>
      </w:r>
      <w:proofErr w:type="spellStart"/>
      <w:r w:rsidRPr="007F46BA">
        <w:rPr>
          <w:rFonts w:asciiTheme="majorBidi" w:hAnsiTheme="majorBidi" w:cstheme="majorBidi"/>
          <w:color w:val="000000" w:themeColor="text1"/>
          <w:sz w:val="24"/>
          <w:szCs w:val="24"/>
        </w:rPr>
        <w:t>Borouge</w:t>
      </w:r>
      <w:proofErr w:type="spellEnd"/>
      <w:r w:rsidRPr="007F46BA">
        <w:rPr>
          <w:rFonts w:asciiTheme="majorBidi" w:hAnsiTheme="majorBidi" w:cstheme="majorBidi"/>
          <w:color w:val="000000" w:themeColor="text1"/>
          <w:sz w:val="24"/>
          <w:szCs w:val="24"/>
        </w:rPr>
        <w:t xml:space="preserve"> </w:t>
      </w:r>
      <w:proofErr w:type="spellStart"/>
      <w:r w:rsidRPr="007F46BA">
        <w:rPr>
          <w:rFonts w:asciiTheme="majorBidi" w:hAnsiTheme="majorBidi" w:cstheme="majorBidi"/>
          <w:color w:val="000000" w:themeColor="text1"/>
          <w:sz w:val="24"/>
          <w:szCs w:val="24"/>
        </w:rPr>
        <w:t>Ptd</w:t>
      </w:r>
      <w:proofErr w:type="spellEnd"/>
      <w:r w:rsidRPr="007F46BA">
        <w:rPr>
          <w:rFonts w:asciiTheme="majorBidi" w:hAnsiTheme="majorBidi" w:cstheme="majorBidi"/>
          <w:color w:val="000000" w:themeColor="text1"/>
          <w:sz w:val="24"/>
          <w:szCs w:val="24"/>
        </w:rPr>
        <w:t xml:space="preserve"> Ltd </w:t>
      </w:r>
      <w:proofErr w:type="spellStart"/>
      <w:r w:rsidRPr="007F46BA">
        <w:rPr>
          <w:rFonts w:asciiTheme="majorBidi" w:hAnsiTheme="majorBidi" w:cstheme="majorBidi"/>
          <w:color w:val="000000" w:themeColor="text1"/>
          <w:sz w:val="24"/>
          <w:szCs w:val="24"/>
        </w:rPr>
        <w:t>Marcura</w:t>
      </w:r>
      <w:proofErr w:type="spellEnd"/>
      <w:r w:rsidRPr="007F46BA">
        <w:rPr>
          <w:rFonts w:asciiTheme="majorBidi" w:hAnsiTheme="majorBidi" w:cstheme="majorBidi"/>
          <w:color w:val="000000" w:themeColor="text1"/>
          <w:sz w:val="24"/>
          <w:szCs w:val="24"/>
        </w:rPr>
        <w:t xml:space="preserve"> Japan KK</w:t>
      </w:r>
    </w:p>
    <w:p w14:paraId="2B623516" w14:textId="6DF1DA5C" w:rsidR="00E85316" w:rsidRPr="007F46BA" w:rsidRDefault="00E85316" w:rsidP="00E85316">
      <w:pPr>
        <w:rPr>
          <w:rFonts w:asciiTheme="majorBidi" w:hAnsiTheme="majorBidi" w:cstheme="majorBidi"/>
          <w:sz w:val="24"/>
          <w:szCs w:val="24"/>
        </w:rPr>
      </w:pPr>
      <w:r>
        <w:rPr>
          <w:rFonts w:asciiTheme="majorBidi" w:hAnsiTheme="majorBidi" w:cstheme="majorBidi"/>
          <w:noProof/>
          <w:sz w:val="24"/>
          <w:szCs w:val="24"/>
          <w:lang w:val="en-US" w:eastAsia="en-US"/>
        </w:rPr>
        <mc:AlternateContent>
          <mc:Choice Requires="wps">
            <w:drawing>
              <wp:anchor distT="0" distB="0" distL="114300" distR="114300" simplePos="0" relativeHeight="251676672" behindDoc="0" locked="0" layoutInCell="1" allowOverlap="1" wp14:anchorId="14339843" wp14:editId="7BD2B614">
                <wp:simplePos x="0" y="0"/>
                <wp:positionH relativeFrom="column">
                  <wp:posOffset>2557145</wp:posOffset>
                </wp:positionH>
                <wp:positionV relativeFrom="paragraph">
                  <wp:posOffset>180975</wp:posOffset>
                </wp:positionV>
                <wp:extent cx="1838325" cy="1276350"/>
                <wp:effectExtent l="0" t="0" r="28575" b="19050"/>
                <wp:wrapNone/>
                <wp:docPr id="25" name="Oval 25"/>
                <wp:cNvGraphicFramePr/>
                <a:graphic xmlns:a="http://schemas.openxmlformats.org/drawingml/2006/main">
                  <a:graphicData uri="http://schemas.microsoft.com/office/word/2010/wordprocessingShape">
                    <wps:wsp>
                      <wps:cNvSpPr/>
                      <wps:spPr>
                        <a:xfrm>
                          <a:off x="0" y="0"/>
                          <a:ext cx="1838325" cy="127635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217BEE1F" w14:textId="3EDF3CBD" w:rsidR="009B6C6E" w:rsidRPr="009B6C6E" w:rsidRDefault="009B6C6E" w:rsidP="009B6C6E">
                            <w:pPr>
                              <w:jc w:val="center"/>
                              <w:rPr>
                                <w:b/>
                                <w:bCs/>
                                <w:sz w:val="28"/>
                                <w:szCs w:val="28"/>
                              </w:rPr>
                            </w:pPr>
                            <w:r w:rsidRPr="009B6C6E">
                              <w:rPr>
                                <w:b/>
                                <w:bCs/>
                                <w:sz w:val="28"/>
                                <w:szCs w:val="28"/>
                              </w:rPr>
                              <w:t xml:space="preserve">13,400 </w:t>
                            </w:r>
                          </w:p>
                          <w:p w14:paraId="2A6AD8B4" w14:textId="1D319B68" w:rsidR="009B6C6E" w:rsidRPr="009B6C6E" w:rsidRDefault="009B6C6E" w:rsidP="009B6C6E">
                            <w:pPr>
                              <w:spacing w:after="0"/>
                              <w:jc w:val="center"/>
                              <w:rPr>
                                <w:sz w:val="24"/>
                                <w:szCs w:val="24"/>
                              </w:rPr>
                            </w:pPr>
                            <w:r w:rsidRPr="009B6C6E">
                              <w:rPr>
                                <w:sz w:val="24"/>
                                <w:szCs w:val="24"/>
                              </w:rPr>
                              <w:t>Registered Japanese brands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39843" id="Oval 25" o:spid="_x0000_s1027" style="position:absolute;margin-left:201.35pt;margin-top:14.25pt;width:144.75pt;height:1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" fillcolor="white [3201]" strokecolor="#ffc000 [3207]" strokeweight="1pt">
                <v:stroke joinstyle="miter"/>
                <v:textbox>
                  <w:txbxContent>
                    <w:p w14:paraId="217BEE1F" w14:textId="3EDF3CBD" w:rsidR="009B6C6E" w:rsidRPr="009B6C6E" w:rsidRDefault="009B6C6E" w:rsidP="009B6C6E">
                      <w:pPr>
                        <w:jc w:val="center"/>
                        <w:rPr>
                          <w:b/>
                          <w:bCs/>
                          <w:sz w:val="28"/>
                          <w:szCs w:val="28"/>
                        </w:rPr>
                      </w:pPr>
                      <w:r w:rsidRPr="009B6C6E">
                        <w:rPr>
                          <w:b/>
                          <w:bCs/>
                          <w:sz w:val="28"/>
                          <w:szCs w:val="28"/>
                        </w:rPr>
                        <w:t xml:space="preserve">13,400 </w:t>
                      </w:r>
                    </w:p>
                    <w:p w14:paraId="2A6AD8B4" w14:textId="1D319B68" w:rsidR="009B6C6E" w:rsidRPr="009B6C6E" w:rsidRDefault="009B6C6E" w:rsidP="009B6C6E">
                      <w:pPr>
                        <w:spacing w:after="0"/>
                        <w:jc w:val="center"/>
                        <w:rPr>
                          <w:sz w:val="24"/>
                          <w:szCs w:val="24"/>
                        </w:rPr>
                      </w:pPr>
                      <w:r w:rsidRPr="009B6C6E">
                        <w:rPr>
                          <w:sz w:val="24"/>
                          <w:szCs w:val="24"/>
                        </w:rPr>
                        <w:t>Registered Japanese brands</w:t>
                      </w:r>
                    </w:p>
                  </w:txbxContent>
                </v:textbox>
              </v:oval>
            </w:pict>
          </mc:Fallback>
        </mc:AlternateContent>
      </w:r>
      <w:r>
        <w:rPr>
          <w:rFonts w:asciiTheme="majorBidi" w:hAnsiTheme="majorBidi" w:cstheme="majorBidi"/>
          <w:noProof/>
          <w:sz w:val="24"/>
          <w:szCs w:val="24"/>
          <w:lang w:val="en-US" w:eastAsia="en-US"/>
        </w:rPr>
        <mc:AlternateContent>
          <mc:Choice Requires="wps">
            <w:drawing>
              <wp:anchor distT="0" distB="0" distL="114300" distR="114300" simplePos="0" relativeHeight="251674624" behindDoc="0" locked="0" layoutInCell="1" allowOverlap="1" wp14:anchorId="01E0E90B" wp14:editId="45767591">
                <wp:simplePos x="0" y="0"/>
                <wp:positionH relativeFrom="column">
                  <wp:posOffset>623570</wp:posOffset>
                </wp:positionH>
                <wp:positionV relativeFrom="paragraph">
                  <wp:posOffset>181610</wp:posOffset>
                </wp:positionV>
                <wp:extent cx="1819275" cy="1219200"/>
                <wp:effectExtent l="0" t="0" r="28575" b="19050"/>
                <wp:wrapNone/>
                <wp:docPr id="24" name="Oval 24"/>
                <wp:cNvGraphicFramePr/>
                <a:graphic xmlns:a="http://schemas.openxmlformats.org/drawingml/2006/main">
                  <a:graphicData uri="http://schemas.microsoft.com/office/word/2010/wordprocessingShape">
                    <wps:wsp>
                      <wps:cNvSpPr/>
                      <wps:spPr>
                        <a:xfrm>
                          <a:off x="0" y="0"/>
                          <a:ext cx="1819275" cy="12192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6C39A10C" w14:textId="34AA494C" w:rsidR="00685149" w:rsidRPr="009B6C6E" w:rsidRDefault="00685149" w:rsidP="00685149">
                            <w:pPr>
                              <w:jc w:val="center"/>
                              <w:rPr>
                                <w:b/>
                                <w:bCs/>
                                <w:sz w:val="28"/>
                                <w:szCs w:val="28"/>
                              </w:rPr>
                            </w:pPr>
                            <w:r w:rsidRPr="009B6C6E">
                              <w:rPr>
                                <w:b/>
                                <w:bCs/>
                                <w:sz w:val="28"/>
                                <w:szCs w:val="28"/>
                              </w:rPr>
                              <w:t xml:space="preserve">340 </w:t>
                            </w:r>
                          </w:p>
                          <w:p w14:paraId="03CAAB26" w14:textId="6D8FF7BF" w:rsidR="00685149" w:rsidRPr="009B6C6E" w:rsidRDefault="00685149" w:rsidP="00685149">
                            <w:pPr>
                              <w:jc w:val="center"/>
                              <w:rPr>
                                <w:sz w:val="24"/>
                                <w:szCs w:val="24"/>
                              </w:rPr>
                            </w:pPr>
                            <w:r w:rsidRPr="009B6C6E">
                              <w:rPr>
                                <w:sz w:val="24"/>
                                <w:szCs w:val="24"/>
                              </w:rPr>
                              <w:t>Japanese companies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0E90B" id="Oval 24" o:spid="_x0000_s1028" style="position:absolute;margin-left:49.1pt;margin-top:14.3pt;width:143.2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" fillcolor="white [3201]" strokecolor="#ffc000 [3207]" strokeweight="1pt">
                <v:stroke joinstyle="miter"/>
                <v:textbox>
                  <w:txbxContent>
                    <w:p w14:paraId="6C39A10C" w14:textId="34AA494C" w:rsidR="00685149" w:rsidRPr="009B6C6E" w:rsidRDefault="00685149" w:rsidP="00685149">
                      <w:pPr>
                        <w:jc w:val="center"/>
                        <w:rPr>
                          <w:b/>
                          <w:bCs/>
                          <w:sz w:val="28"/>
                          <w:szCs w:val="28"/>
                        </w:rPr>
                      </w:pPr>
                      <w:r w:rsidRPr="009B6C6E">
                        <w:rPr>
                          <w:b/>
                          <w:bCs/>
                          <w:sz w:val="28"/>
                          <w:szCs w:val="28"/>
                        </w:rPr>
                        <w:t xml:space="preserve">340 </w:t>
                      </w:r>
                    </w:p>
                    <w:p w14:paraId="03CAAB26" w14:textId="6D8FF7BF" w:rsidR="00685149" w:rsidRPr="009B6C6E" w:rsidRDefault="00685149" w:rsidP="00685149">
                      <w:pPr>
                        <w:jc w:val="center"/>
                        <w:rPr>
                          <w:sz w:val="24"/>
                          <w:szCs w:val="24"/>
                        </w:rPr>
                      </w:pPr>
                      <w:r w:rsidRPr="009B6C6E">
                        <w:rPr>
                          <w:sz w:val="24"/>
                          <w:szCs w:val="24"/>
                        </w:rPr>
                        <w:t>Japanese companies</w:t>
                      </w:r>
                    </w:p>
                  </w:txbxContent>
                </v:textbox>
              </v:oval>
            </w:pict>
          </mc:Fallback>
        </mc:AlternateContent>
      </w:r>
      <w:r w:rsidR="003B7F87">
        <w:rPr>
          <w:rFonts w:asciiTheme="majorBidi" w:hAnsiTheme="majorBidi" w:cstheme="majorBidi"/>
          <w:sz w:val="24"/>
          <w:szCs w:val="24"/>
        </w:rPr>
        <w:t>ADNOC International Dubai Investment Fund</w:t>
      </w:r>
    </w:p>
    <w:p w14:paraId="2D98F202" w14:textId="5A216B25" w:rsidR="00E85316" w:rsidRPr="007F46BA" w:rsidRDefault="00E85316" w:rsidP="00E85316">
      <w:pPr>
        <w:rPr>
          <w:rFonts w:asciiTheme="majorBidi" w:hAnsiTheme="majorBidi" w:cstheme="majorBidi"/>
          <w:sz w:val="24"/>
          <w:szCs w:val="24"/>
        </w:rPr>
      </w:pPr>
    </w:p>
    <w:p w14:paraId="4FFDC822" w14:textId="41C29C2F" w:rsidR="009B6C6E" w:rsidRPr="007F46BA" w:rsidRDefault="009B6C6E" w:rsidP="00DD1AD8">
      <w:pPr>
        <w:spacing w:line="276" w:lineRule="auto"/>
        <w:jc w:val="both"/>
        <w:rPr>
          <w:rFonts w:asciiTheme="majorBidi" w:hAnsiTheme="majorBidi" w:cstheme="majorBidi"/>
          <w:b/>
          <w:bCs/>
          <w:sz w:val="26"/>
          <w:szCs w:val="26"/>
        </w:rPr>
      </w:pPr>
    </w:p>
    <w:p w14:paraId="14AF3B0B" w14:textId="24D8546C" w:rsidR="00B83234" w:rsidRDefault="00B83234" w:rsidP="00DD1AD8">
      <w:pPr>
        <w:spacing w:line="276" w:lineRule="auto"/>
        <w:jc w:val="both"/>
        <w:rPr>
          <w:rFonts w:asciiTheme="majorBidi" w:hAnsiTheme="majorBidi" w:cstheme="majorBidi"/>
          <w:sz w:val="24"/>
          <w:szCs w:val="24"/>
        </w:rPr>
      </w:pPr>
    </w:p>
    <w:p w14:paraId="1A2B82D0" w14:textId="1246154C" w:rsidR="0049581B" w:rsidRDefault="0049581B" w:rsidP="00DD1AD8">
      <w:pPr>
        <w:spacing w:line="276" w:lineRule="auto"/>
        <w:jc w:val="both"/>
        <w:rPr>
          <w:rFonts w:asciiTheme="majorBidi" w:hAnsiTheme="majorBidi" w:cstheme="majorBidi"/>
          <w:sz w:val="24"/>
          <w:szCs w:val="24"/>
        </w:rPr>
      </w:pPr>
    </w:p>
    <w:p w14:paraId="6B71DEA8" w14:textId="104256E2" w:rsidR="0049581B" w:rsidRPr="00436BB9" w:rsidRDefault="007878C8" w:rsidP="00436BB9">
      <w:pPr>
        <w:pStyle w:val="ListParagraph"/>
        <w:numPr>
          <w:ilvl w:val="0"/>
          <w:numId w:val="2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Moving forward, </w:t>
      </w:r>
      <w:r w:rsidR="008326A7" w:rsidRPr="008326A7">
        <w:rPr>
          <w:rFonts w:asciiTheme="majorBidi" w:hAnsiTheme="majorBidi" w:cstheme="majorBidi"/>
          <w:sz w:val="24"/>
          <w:szCs w:val="24"/>
        </w:rPr>
        <w:t xml:space="preserve">we are committed to </w:t>
      </w:r>
      <w:r w:rsidR="008326A7">
        <w:rPr>
          <w:rFonts w:asciiTheme="majorBidi" w:hAnsiTheme="majorBidi" w:cstheme="majorBidi"/>
          <w:sz w:val="24"/>
          <w:szCs w:val="24"/>
        </w:rPr>
        <w:t xml:space="preserve">promote innovation-driven and sustainable projects </w:t>
      </w:r>
      <w:r w:rsidR="008326A7" w:rsidRPr="008326A7">
        <w:rPr>
          <w:rFonts w:asciiTheme="majorBidi" w:hAnsiTheme="majorBidi" w:cstheme="majorBidi"/>
          <w:sz w:val="24"/>
          <w:szCs w:val="24"/>
        </w:rPr>
        <w:t>in our bilateral relations</w:t>
      </w:r>
      <w:r w:rsidR="008326A7">
        <w:rPr>
          <w:rFonts w:asciiTheme="majorBidi" w:hAnsiTheme="majorBidi" w:cstheme="majorBidi"/>
          <w:sz w:val="24"/>
          <w:szCs w:val="24"/>
        </w:rPr>
        <w:t xml:space="preserve">. In this regard, </w:t>
      </w:r>
      <w:r w:rsidR="00436BB9" w:rsidRPr="005F6F96">
        <w:rPr>
          <w:rFonts w:asciiTheme="majorBidi" w:hAnsiTheme="majorBidi" w:cstheme="majorBidi"/>
          <w:sz w:val="24"/>
          <w:szCs w:val="24"/>
        </w:rPr>
        <w:t>Japan</w:t>
      </w:r>
      <w:r w:rsidR="00436BB9">
        <w:rPr>
          <w:rFonts w:asciiTheme="majorBidi" w:hAnsiTheme="majorBidi" w:cstheme="majorBidi"/>
          <w:sz w:val="24"/>
          <w:szCs w:val="24"/>
        </w:rPr>
        <w:t xml:space="preserve"> is going </w:t>
      </w:r>
      <w:r w:rsidR="00436BB9" w:rsidRPr="005F6F96">
        <w:rPr>
          <w:rFonts w:asciiTheme="majorBidi" w:hAnsiTheme="majorBidi" w:cstheme="majorBidi"/>
          <w:sz w:val="24"/>
          <w:szCs w:val="24"/>
        </w:rPr>
        <w:t xml:space="preserve">to be a key partner in </w:t>
      </w:r>
      <w:r w:rsidR="00436BB9">
        <w:rPr>
          <w:rFonts w:asciiTheme="majorBidi" w:hAnsiTheme="majorBidi" w:cstheme="majorBidi"/>
          <w:sz w:val="24"/>
          <w:szCs w:val="24"/>
        </w:rPr>
        <w:t>the UAE’s</w:t>
      </w:r>
      <w:r w:rsidR="00436BB9" w:rsidRPr="005F6F96">
        <w:rPr>
          <w:rFonts w:asciiTheme="majorBidi" w:hAnsiTheme="majorBidi" w:cstheme="majorBidi"/>
          <w:sz w:val="24"/>
          <w:szCs w:val="24"/>
        </w:rPr>
        <w:t xml:space="preserve"> economic growth journey and take advantage of the diverse opportunities and incentives offered by </w:t>
      </w:r>
      <w:r w:rsidR="00436BB9">
        <w:rPr>
          <w:rFonts w:asciiTheme="majorBidi" w:hAnsiTheme="majorBidi" w:cstheme="majorBidi"/>
          <w:sz w:val="24"/>
          <w:szCs w:val="24"/>
        </w:rPr>
        <w:t>favourable</w:t>
      </w:r>
      <w:r w:rsidR="00436BB9" w:rsidRPr="005F6F96">
        <w:rPr>
          <w:rFonts w:asciiTheme="majorBidi" w:hAnsiTheme="majorBidi" w:cstheme="majorBidi"/>
          <w:sz w:val="24"/>
          <w:szCs w:val="24"/>
        </w:rPr>
        <w:t xml:space="preserve"> business environment</w:t>
      </w:r>
      <w:r w:rsidR="00436BB9">
        <w:rPr>
          <w:rFonts w:asciiTheme="majorBidi" w:hAnsiTheme="majorBidi" w:cstheme="majorBidi"/>
          <w:sz w:val="24"/>
          <w:szCs w:val="24"/>
        </w:rPr>
        <w:t>.</w:t>
      </w:r>
    </w:p>
    <w:p w14:paraId="47B04A5D" w14:textId="77777777" w:rsidR="002076CB" w:rsidRPr="00DD1AD8" w:rsidRDefault="002076CB" w:rsidP="00DD1AD8">
      <w:pPr>
        <w:spacing w:line="276" w:lineRule="auto"/>
        <w:jc w:val="both"/>
        <w:rPr>
          <w:rFonts w:asciiTheme="majorBidi" w:hAnsiTheme="majorBidi" w:cstheme="majorBidi"/>
          <w:sz w:val="24"/>
          <w:szCs w:val="24"/>
        </w:rPr>
      </w:pPr>
    </w:p>
    <w:p w14:paraId="42E9F19D" w14:textId="1A184362" w:rsidR="002076CB" w:rsidRDefault="004F305B" w:rsidP="0026468A">
      <w:pPr>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Direct </w:t>
      </w:r>
      <w:r w:rsidR="00344D30" w:rsidRPr="00344D30">
        <w:rPr>
          <w:rFonts w:asciiTheme="majorBidi" w:hAnsiTheme="majorBidi" w:cstheme="majorBidi"/>
          <w:b/>
          <w:bCs/>
          <w:color w:val="000000" w:themeColor="text1"/>
          <w:sz w:val="24"/>
          <w:szCs w:val="24"/>
        </w:rPr>
        <w:t>Flights between UAE and Japan</w:t>
      </w:r>
    </w:p>
    <w:p w14:paraId="6F4304E5" w14:textId="46F6369F" w:rsidR="002076CB" w:rsidRDefault="002076CB" w:rsidP="006F13EB">
      <w:pPr>
        <w:rPr>
          <w:rFonts w:asciiTheme="majorBidi" w:hAnsiTheme="majorBidi" w:cstheme="majorBidi"/>
          <w:b/>
          <w:bCs/>
          <w:sz w:val="26"/>
          <w:szCs w:val="26"/>
        </w:rPr>
      </w:pPr>
    </w:p>
    <w:tbl>
      <w:tblPr>
        <w:tblStyle w:val="TableGrid"/>
        <w:tblW w:w="9985" w:type="dxa"/>
        <w:jc w:val="center"/>
        <w:tblLook w:val="04A0" w:firstRow="1" w:lastRow="0" w:firstColumn="1" w:lastColumn="0" w:noHBand="0" w:noVBand="1"/>
      </w:tblPr>
      <w:tblGrid>
        <w:gridCol w:w="3119"/>
        <w:gridCol w:w="3402"/>
        <w:gridCol w:w="3464"/>
      </w:tblGrid>
      <w:tr w:rsidR="007663DE" w14:paraId="482BE497" w14:textId="77777777" w:rsidTr="009721B3">
        <w:trPr>
          <w:trHeight w:val="1742"/>
          <w:jc w:val="center"/>
        </w:trPr>
        <w:tc>
          <w:tcPr>
            <w:tcW w:w="3119" w:type="dxa"/>
          </w:tcPr>
          <w:p w14:paraId="04753683" w14:textId="77777777" w:rsidR="007663DE" w:rsidRDefault="007663DE" w:rsidP="009721B3">
            <w:pPr>
              <w:jc w:val="center"/>
              <w:rPr>
                <w:rFonts w:asciiTheme="majorBidi" w:hAnsiTheme="majorBidi" w:cstheme="majorBidi"/>
                <w:sz w:val="24"/>
                <w:szCs w:val="24"/>
              </w:rPr>
            </w:pPr>
          </w:p>
          <w:p w14:paraId="1FB90281" w14:textId="77777777" w:rsidR="007663DE" w:rsidRDefault="007663DE" w:rsidP="009721B3">
            <w:pPr>
              <w:jc w:val="center"/>
              <w:rPr>
                <w:rFonts w:asciiTheme="majorBidi" w:hAnsiTheme="majorBidi" w:cstheme="majorBidi"/>
                <w:sz w:val="24"/>
                <w:szCs w:val="24"/>
              </w:rPr>
            </w:pPr>
          </w:p>
          <w:p w14:paraId="17A1CA36" w14:textId="77777777" w:rsidR="007663DE" w:rsidRPr="00BB74F4" w:rsidRDefault="007663DE" w:rsidP="009721B3">
            <w:pPr>
              <w:jc w:val="center"/>
              <w:rPr>
                <w:b/>
                <w:bCs/>
                <w:noProof/>
                <w:sz w:val="24"/>
                <w:szCs w:val="24"/>
              </w:rPr>
            </w:pPr>
            <w:r w:rsidRPr="00BB74F4">
              <w:rPr>
                <w:rFonts w:asciiTheme="majorBidi" w:hAnsiTheme="majorBidi" w:cstheme="majorBidi"/>
                <w:b/>
                <w:bCs/>
                <w:sz w:val="24"/>
                <w:szCs w:val="24"/>
              </w:rPr>
              <w:t>Updates</w:t>
            </w:r>
          </w:p>
        </w:tc>
        <w:tc>
          <w:tcPr>
            <w:tcW w:w="3402" w:type="dxa"/>
          </w:tcPr>
          <w:p w14:paraId="34D727B3" w14:textId="77777777" w:rsidR="007663DE" w:rsidRDefault="007663DE" w:rsidP="009721B3">
            <w:pPr>
              <w:rPr>
                <w:rFonts w:asciiTheme="majorBidi" w:hAnsiTheme="majorBidi" w:cstheme="majorBidi"/>
                <w:sz w:val="24"/>
                <w:szCs w:val="24"/>
              </w:rPr>
            </w:pPr>
            <w:r>
              <w:rPr>
                <w:noProof/>
              </w:rPr>
              <w:drawing>
                <wp:anchor distT="0" distB="0" distL="114300" distR="114300" simplePos="0" relativeHeight="251681792" behindDoc="0" locked="0" layoutInCell="1" allowOverlap="1" wp14:anchorId="09CC3EEC" wp14:editId="7B968DB1">
                  <wp:simplePos x="0" y="0"/>
                  <wp:positionH relativeFrom="column">
                    <wp:posOffset>632460</wp:posOffset>
                  </wp:positionH>
                  <wp:positionV relativeFrom="paragraph">
                    <wp:posOffset>85090</wp:posOffset>
                  </wp:positionV>
                  <wp:extent cx="704850" cy="980440"/>
                  <wp:effectExtent l="0" t="0" r="0" b="0"/>
                  <wp:wrapThrough wrapText="bothSides">
                    <wp:wrapPolygon edited="0">
                      <wp:start x="0" y="0"/>
                      <wp:lineTo x="0" y="20984"/>
                      <wp:lineTo x="21016" y="20984"/>
                      <wp:lineTo x="21016"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64" w:type="dxa"/>
          </w:tcPr>
          <w:p w14:paraId="3D1ACCB4" w14:textId="77777777" w:rsidR="007663DE" w:rsidRDefault="007663DE" w:rsidP="009721B3">
            <w:pPr>
              <w:rPr>
                <w:noProof/>
              </w:rPr>
            </w:pPr>
            <w:r>
              <w:rPr>
                <w:noProof/>
              </w:rPr>
              <w:drawing>
                <wp:anchor distT="0" distB="0" distL="114300" distR="114300" simplePos="0" relativeHeight="251680768" behindDoc="0" locked="0" layoutInCell="1" allowOverlap="1" wp14:anchorId="59C6B4B6" wp14:editId="370F9C3C">
                  <wp:simplePos x="0" y="0"/>
                  <wp:positionH relativeFrom="column">
                    <wp:posOffset>532765</wp:posOffset>
                  </wp:positionH>
                  <wp:positionV relativeFrom="paragraph">
                    <wp:posOffset>142240</wp:posOffset>
                  </wp:positionV>
                  <wp:extent cx="1019175" cy="1019175"/>
                  <wp:effectExtent l="0" t="0" r="9525" b="9525"/>
                  <wp:wrapThrough wrapText="bothSides">
                    <wp:wrapPolygon edited="0">
                      <wp:start x="0" y="0"/>
                      <wp:lineTo x="0" y="21398"/>
                      <wp:lineTo x="21398" y="21398"/>
                      <wp:lineTo x="21398"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663DE" w14:paraId="5E18A5E9" w14:textId="77777777" w:rsidTr="009721B3">
        <w:trPr>
          <w:trHeight w:val="851"/>
          <w:jc w:val="center"/>
        </w:trPr>
        <w:tc>
          <w:tcPr>
            <w:tcW w:w="3119" w:type="dxa"/>
            <w:vAlign w:val="center"/>
          </w:tcPr>
          <w:p w14:paraId="56ED4E78"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Outbound Narita Tokyo to Dubai /AUH, Dates</w:t>
            </w:r>
          </w:p>
          <w:p w14:paraId="68E834B9" w14:textId="77777777" w:rsidR="007663DE" w:rsidRDefault="007663DE" w:rsidP="009721B3">
            <w:pPr>
              <w:rPr>
                <w:rFonts w:asciiTheme="majorBidi" w:hAnsiTheme="majorBidi" w:cstheme="majorBidi"/>
                <w:sz w:val="24"/>
                <w:szCs w:val="24"/>
              </w:rPr>
            </w:pPr>
          </w:p>
        </w:tc>
        <w:tc>
          <w:tcPr>
            <w:tcW w:w="3402" w:type="dxa"/>
            <w:vAlign w:val="center"/>
          </w:tcPr>
          <w:p w14:paraId="2F3B82F6"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Mo, Tu, We, Thu, Fri, Sat, Sun</w:t>
            </w:r>
          </w:p>
        </w:tc>
        <w:tc>
          <w:tcPr>
            <w:tcW w:w="3464" w:type="dxa"/>
            <w:vAlign w:val="center"/>
          </w:tcPr>
          <w:p w14:paraId="191BE479"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Mo, Tu, We, Thu, Fri, Sat, Sun</w:t>
            </w:r>
          </w:p>
        </w:tc>
      </w:tr>
      <w:tr w:rsidR="007663DE" w14:paraId="748080B7" w14:textId="77777777" w:rsidTr="009721B3">
        <w:trPr>
          <w:trHeight w:val="851"/>
          <w:jc w:val="center"/>
        </w:trPr>
        <w:tc>
          <w:tcPr>
            <w:tcW w:w="3119" w:type="dxa"/>
            <w:vAlign w:val="center"/>
          </w:tcPr>
          <w:p w14:paraId="72A1BF12"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Inbound Dubai /AUH to Narita Tokyo, Dates</w:t>
            </w:r>
          </w:p>
        </w:tc>
        <w:tc>
          <w:tcPr>
            <w:tcW w:w="3402" w:type="dxa"/>
            <w:vAlign w:val="center"/>
          </w:tcPr>
          <w:p w14:paraId="422C172A"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Mo, Tu, We, Thu, Fri, Sat, Sun</w:t>
            </w:r>
          </w:p>
        </w:tc>
        <w:tc>
          <w:tcPr>
            <w:tcW w:w="3464" w:type="dxa"/>
            <w:vAlign w:val="center"/>
          </w:tcPr>
          <w:p w14:paraId="30818964"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Mo, Tu, We, Thu, Fri, Sat, Sun</w:t>
            </w:r>
          </w:p>
        </w:tc>
      </w:tr>
      <w:tr w:rsidR="007663DE" w14:paraId="491EC5E7" w14:textId="77777777" w:rsidTr="009721B3">
        <w:trPr>
          <w:trHeight w:val="851"/>
          <w:jc w:val="center"/>
        </w:trPr>
        <w:tc>
          <w:tcPr>
            <w:tcW w:w="3119" w:type="dxa"/>
            <w:vAlign w:val="center"/>
          </w:tcPr>
          <w:p w14:paraId="00D6DFF3"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 xml:space="preserve"> Flights Weekly </w:t>
            </w:r>
          </w:p>
        </w:tc>
        <w:tc>
          <w:tcPr>
            <w:tcW w:w="3402" w:type="dxa"/>
            <w:vAlign w:val="center"/>
          </w:tcPr>
          <w:p w14:paraId="4E5A1D4E"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7</w:t>
            </w:r>
          </w:p>
        </w:tc>
        <w:tc>
          <w:tcPr>
            <w:tcW w:w="3464" w:type="dxa"/>
            <w:vAlign w:val="center"/>
          </w:tcPr>
          <w:p w14:paraId="722323BC"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7</w:t>
            </w:r>
          </w:p>
        </w:tc>
      </w:tr>
      <w:tr w:rsidR="007663DE" w14:paraId="35E83B72" w14:textId="77777777" w:rsidTr="009721B3">
        <w:trPr>
          <w:trHeight w:val="851"/>
          <w:jc w:val="center"/>
        </w:trPr>
        <w:tc>
          <w:tcPr>
            <w:tcW w:w="3119" w:type="dxa"/>
            <w:vAlign w:val="center"/>
          </w:tcPr>
          <w:p w14:paraId="3C9B0A42"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 xml:space="preserve">Seat Capacity  </w:t>
            </w:r>
          </w:p>
        </w:tc>
        <w:tc>
          <w:tcPr>
            <w:tcW w:w="3402" w:type="dxa"/>
            <w:vAlign w:val="center"/>
          </w:tcPr>
          <w:p w14:paraId="22E54990"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488 / per flight</w:t>
            </w:r>
          </w:p>
        </w:tc>
        <w:tc>
          <w:tcPr>
            <w:tcW w:w="3464" w:type="dxa"/>
            <w:vAlign w:val="center"/>
          </w:tcPr>
          <w:p w14:paraId="5143ED02"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299 / per flight</w:t>
            </w:r>
          </w:p>
        </w:tc>
      </w:tr>
      <w:tr w:rsidR="007663DE" w14:paraId="7A9545C7" w14:textId="77777777" w:rsidTr="009721B3">
        <w:trPr>
          <w:trHeight w:val="851"/>
          <w:jc w:val="center"/>
        </w:trPr>
        <w:tc>
          <w:tcPr>
            <w:tcW w:w="3119" w:type="dxa"/>
            <w:vAlign w:val="center"/>
          </w:tcPr>
          <w:p w14:paraId="293D5676"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Kansai Airport, Osaka</w:t>
            </w:r>
          </w:p>
        </w:tc>
        <w:tc>
          <w:tcPr>
            <w:tcW w:w="3402" w:type="dxa"/>
            <w:vAlign w:val="center"/>
          </w:tcPr>
          <w:p w14:paraId="312AC2BC"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354 / per flight</w:t>
            </w:r>
          </w:p>
        </w:tc>
        <w:tc>
          <w:tcPr>
            <w:tcW w:w="3464" w:type="dxa"/>
            <w:vAlign w:val="center"/>
          </w:tcPr>
          <w:p w14:paraId="507D8648"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No flights</w:t>
            </w:r>
          </w:p>
        </w:tc>
      </w:tr>
      <w:tr w:rsidR="007663DE" w14:paraId="257721A1" w14:textId="77777777" w:rsidTr="009721B3">
        <w:trPr>
          <w:trHeight w:val="851"/>
          <w:jc w:val="center"/>
        </w:trPr>
        <w:tc>
          <w:tcPr>
            <w:tcW w:w="3119" w:type="dxa"/>
            <w:vAlign w:val="center"/>
          </w:tcPr>
          <w:p w14:paraId="4BA2EA63"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Haneda Airport, Tokyo</w:t>
            </w:r>
          </w:p>
        </w:tc>
        <w:tc>
          <w:tcPr>
            <w:tcW w:w="3402" w:type="dxa"/>
            <w:vAlign w:val="center"/>
          </w:tcPr>
          <w:p w14:paraId="4406C4FC"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Cancelled for winter schedule</w:t>
            </w:r>
          </w:p>
        </w:tc>
        <w:tc>
          <w:tcPr>
            <w:tcW w:w="3464" w:type="dxa"/>
            <w:vAlign w:val="center"/>
          </w:tcPr>
          <w:p w14:paraId="52BFDC66"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No flights</w:t>
            </w:r>
          </w:p>
        </w:tc>
      </w:tr>
      <w:tr w:rsidR="007663DE" w14:paraId="5DB7ED0D" w14:textId="77777777" w:rsidTr="009721B3">
        <w:trPr>
          <w:trHeight w:val="851"/>
          <w:jc w:val="center"/>
        </w:trPr>
        <w:tc>
          <w:tcPr>
            <w:tcW w:w="3119" w:type="dxa"/>
            <w:vAlign w:val="center"/>
          </w:tcPr>
          <w:p w14:paraId="6651D888"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Nagoya Chubu Airport</w:t>
            </w:r>
          </w:p>
        </w:tc>
        <w:tc>
          <w:tcPr>
            <w:tcW w:w="3402" w:type="dxa"/>
            <w:vAlign w:val="center"/>
          </w:tcPr>
          <w:p w14:paraId="6CECB857"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No flights</w:t>
            </w:r>
          </w:p>
        </w:tc>
        <w:tc>
          <w:tcPr>
            <w:tcW w:w="3464" w:type="dxa"/>
            <w:vAlign w:val="center"/>
          </w:tcPr>
          <w:p w14:paraId="5068C0C4"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Suspending service</w:t>
            </w:r>
          </w:p>
        </w:tc>
      </w:tr>
      <w:tr w:rsidR="007663DE" w14:paraId="33165283" w14:textId="77777777" w:rsidTr="009721B3">
        <w:trPr>
          <w:trHeight w:val="851"/>
          <w:jc w:val="center"/>
        </w:trPr>
        <w:tc>
          <w:tcPr>
            <w:tcW w:w="3119" w:type="dxa"/>
            <w:vAlign w:val="center"/>
          </w:tcPr>
          <w:p w14:paraId="740E015B" w14:textId="77777777" w:rsidR="007663DE" w:rsidRDefault="007663DE" w:rsidP="009721B3">
            <w:pPr>
              <w:rPr>
                <w:rFonts w:asciiTheme="majorBidi" w:hAnsiTheme="majorBidi" w:cstheme="majorBidi"/>
                <w:sz w:val="24"/>
                <w:szCs w:val="24"/>
              </w:rPr>
            </w:pPr>
            <w:r>
              <w:rPr>
                <w:rFonts w:asciiTheme="majorBidi" w:hAnsiTheme="majorBidi" w:cstheme="majorBidi"/>
                <w:sz w:val="24"/>
                <w:szCs w:val="24"/>
              </w:rPr>
              <w:t>Empty Seats</w:t>
            </w:r>
          </w:p>
        </w:tc>
        <w:tc>
          <w:tcPr>
            <w:tcW w:w="3402" w:type="dxa"/>
            <w:vAlign w:val="center"/>
          </w:tcPr>
          <w:p w14:paraId="58570701"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0</w:t>
            </w:r>
          </w:p>
        </w:tc>
        <w:tc>
          <w:tcPr>
            <w:tcW w:w="3464" w:type="dxa"/>
            <w:vAlign w:val="center"/>
          </w:tcPr>
          <w:p w14:paraId="1DB49073"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0</w:t>
            </w:r>
          </w:p>
        </w:tc>
      </w:tr>
      <w:tr w:rsidR="007663DE" w14:paraId="110F0F57" w14:textId="77777777" w:rsidTr="009721B3">
        <w:trPr>
          <w:trHeight w:val="851"/>
          <w:jc w:val="center"/>
        </w:trPr>
        <w:tc>
          <w:tcPr>
            <w:tcW w:w="3119" w:type="dxa"/>
            <w:vAlign w:val="center"/>
          </w:tcPr>
          <w:p w14:paraId="7A68310C" w14:textId="77777777" w:rsidR="007663DE" w:rsidRDefault="007663DE" w:rsidP="009721B3">
            <w:pPr>
              <w:rPr>
                <w:rFonts w:asciiTheme="majorBidi" w:hAnsiTheme="majorBidi" w:cstheme="majorBidi"/>
                <w:sz w:val="24"/>
                <w:szCs w:val="24"/>
              </w:rPr>
            </w:pPr>
            <w:r w:rsidRPr="004C2A01">
              <w:rPr>
                <w:rFonts w:asciiTheme="majorBidi" w:hAnsiTheme="majorBidi" w:cstheme="majorBidi"/>
                <w:b/>
                <w:bCs/>
                <w:sz w:val="24"/>
                <w:szCs w:val="24"/>
              </w:rPr>
              <w:t>Passenger Limit</w:t>
            </w:r>
          </w:p>
        </w:tc>
        <w:tc>
          <w:tcPr>
            <w:tcW w:w="3402" w:type="dxa"/>
            <w:vAlign w:val="center"/>
          </w:tcPr>
          <w:p w14:paraId="0A2E81D0"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No limits</w:t>
            </w:r>
          </w:p>
        </w:tc>
        <w:tc>
          <w:tcPr>
            <w:tcW w:w="3464" w:type="dxa"/>
            <w:vAlign w:val="center"/>
          </w:tcPr>
          <w:p w14:paraId="3536C422" w14:textId="77777777" w:rsidR="007663DE" w:rsidRDefault="007663DE" w:rsidP="009721B3">
            <w:pPr>
              <w:jc w:val="center"/>
              <w:rPr>
                <w:rFonts w:asciiTheme="majorBidi" w:hAnsiTheme="majorBidi" w:cstheme="majorBidi"/>
                <w:sz w:val="24"/>
                <w:szCs w:val="24"/>
              </w:rPr>
            </w:pPr>
            <w:r>
              <w:rPr>
                <w:rFonts w:asciiTheme="majorBidi" w:hAnsiTheme="majorBidi" w:cstheme="majorBidi"/>
                <w:sz w:val="24"/>
                <w:szCs w:val="24"/>
              </w:rPr>
              <w:t>No limits</w:t>
            </w:r>
          </w:p>
        </w:tc>
      </w:tr>
    </w:tbl>
    <w:p w14:paraId="6E9A50FE" w14:textId="31221B4F" w:rsidR="00EB029D" w:rsidRDefault="00EB029D" w:rsidP="006F13EB">
      <w:pPr>
        <w:rPr>
          <w:rFonts w:asciiTheme="majorBidi" w:hAnsiTheme="majorBidi" w:cstheme="majorBidi"/>
          <w:b/>
          <w:bCs/>
          <w:sz w:val="26"/>
          <w:szCs w:val="26"/>
        </w:rPr>
      </w:pPr>
    </w:p>
    <w:p w14:paraId="047E6312" w14:textId="7FAB53F2" w:rsidR="00EB029D" w:rsidRDefault="00EB029D" w:rsidP="006F13EB">
      <w:pPr>
        <w:rPr>
          <w:rFonts w:asciiTheme="majorBidi" w:hAnsiTheme="majorBidi" w:cstheme="majorBidi"/>
          <w:b/>
          <w:bCs/>
          <w:sz w:val="26"/>
          <w:szCs w:val="26"/>
        </w:rPr>
      </w:pPr>
    </w:p>
    <w:p w14:paraId="53580DD0" w14:textId="77777777" w:rsidR="007663DE" w:rsidRDefault="007663DE" w:rsidP="008326A7">
      <w:pPr>
        <w:rPr>
          <w:rFonts w:asciiTheme="majorBidi" w:hAnsiTheme="majorBidi" w:cstheme="majorBidi"/>
          <w:b/>
          <w:bCs/>
          <w:sz w:val="26"/>
          <w:szCs w:val="26"/>
        </w:rPr>
      </w:pPr>
      <w:bookmarkStart w:id="0" w:name="_GoBack"/>
      <w:bookmarkEnd w:id="0"/>
    </w:p>
    <w:p w14:paraId="0105171D" w14:textId="6CE975C6" w:rsidR="00291E7C" w:rsidRPr="007663DE" w:rsidRDefault="00094916" w:rsidP="006908A8">
      <w:pPr>
        <w:jc w:val="center"/>
        <w:rPr>
          <w:rFonts w:asciiTheme="majorBidi" w:hAnsiTheme="majorBidi" w:cstheme="majorBidi"/>
          <w:b/>
          <w:bCs/>
          <w:color w:val="000000" w:themeColor="text1"/>
          <w:sz w:val="24"/>
          <w:szCs w:val="24"/>
        </w:rPr>
      </w:pPr>
      <w:r w:rsidRPr="007663DE">
        <w:rPr>
          <w:rFonts w:asciiTheme="majorBidi" w:hAnsiTheme="majorBidi" w:cstheme="majorBidi"/>
          <w:b/>
          <w:bCs/>
          <w:color w:val="000000" w:themeColor="text1"/>
          <w:sz w:val="24"/>
          <w:szCs w:val="24"/>
        </w:rPr>
        <w:t xml:space="preserve">Key </w:t>
      </w:r>
      <w:r w:rsidR="00291E7C" w:rsidRPr="007663DE">
        <w:rPr>
          <w:rFonts w:asciiTheme="majorBidi" w:hAnsiTheme="majorBidi" w:cstheme="majorBidi"/>
          <w:b/>
          <w:bCs/>
          <w:color w:val="000000" w:themeColor="text1"/>
          <w:sz w:val="24"/>
          <w:szCs w:val="24"/>
        </w:rPr>
        <w:t xml:space="preserve">Bilateral </w:t>
      </w:r>
      <w:r w:rsidRPr="007663DE">
        <w:rPr>
          <w:rFonts w:asciiTheme="majorBidi" w:hAnsiTheme="majorBidi" w:cstheme="majorBidi"/>
          <w:b/>
          <w:bCs/>
          <w:color w:val="000000" w:themeColor="text1"/>
          <w:sz w:val="24"/>
          <w:szCs w:val="24"/>
        </w:rPr>
        <w:t>A</w:t>
      </w:r>
      <w:r w:rsidR="00291E7C" w:rsidRPr="007663DE">
        <w:rPr>
          <w:rFonts w:asciiTheme="majorBidi" w:hAnsiTheme="majorBidi" w:cstheme="majorBidi"/>
          <w:b/>
          <w:bCs/>
          <w:color w:val="000000" w:themeColor="text1"/>
          <w:sz w:val="24"/>
          <w:szCs w:val="24"/>
        </w:rPr>
        <w:t xml:space="preserve">greements </w:t>
      </w:r>
      <w:r w:rsidR="00357370" w:rsidRPr="007663DE">
        <w:rPr>
          <w:rFonts w:asciiTheme="majorBidi" w:hAnsiTheme="majorBidi" w:cstheme="majorBidi"/>
          <w:b/>
          <w:bCs/>
          <w:color w:val="000000" w:themeColor="text1"/>
          <w:sz w:val="24"/>
          <w:szCs w:val="24"/>
        </w:rPr>
        <w:t>and Platforms</w:t>
      </w:r>
    </w:p>
    <w:p w14:paraId="5182F545" w14:textId="001A77F1" w:rsidR="002076CB" w:rsidRPr="00B13C39" w:rsidRDefault="002076CB" w:rsidP="00B13C39">
      <w:pPr>
        <w:jc w:val="right"/>
        <w:rPr>
          <w:rFonts w:asciiTheme="majorBidi" w:hAnsiTheme="majorBidi" w:cstheme="majorBidi"/>
          <w:i/>
          <w:iCs/>
          <w:sz w:val="24"/>
          <w:szCs w:val="24"/>
        </w:rPr>
      </w:pPr>
    </w:p>
    <w:tbl>
      <w:tblPr>
        <w:tblStyle w:val="GridTable1Light"/>
        <w:tblW w:w="0" w:type="auto"/>
        <w:tblLook w:val="04A0" w:firstRow="1" w:lastRow="0" w:firstColumn="1" w:lastColumn="0" w:noHBand="0" w:noVBand="1"/>
      </w:tblPr>
      <w:tblGrid>
        <w:gridCol w:w="6232"/>
        <w:gridCol w:w="3112"/>
      </w:tblGrid>
      <w:tr w:rsidR="00B36CCA" w14:paraId="7FF25557" w14:textId="77777777" w:rsidTr="00A0368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32" w:type="dxa"/>
          </w:tcPr>
          <w:p w14:paraId="6E12A526" w14:textId="237F66BA" w:rsidR="00B36CCA" w:rsidRPr="00B91C98" w:rsidRDefault="00094916" w:rsidP="002076CB">
            <w:pPr>
              <w:spacing w:line="276" w:lineRule="auto"/>
              <w:jc w:val="center"/>
              <w:rPr>
                <w:rFonts w:asciiTheme="majorBidi" w:hAnsiTheme="majorBidi" w:cstheme="majorBidi"/>
                <w:color w:val="4472C4" w:themeColor="accent1"/>
                <w:sz w:val="24"/>
                <w:szCs w:val="24"/>
              </w:rPr>
            </w:pPr>
            <w:r w:rsidRPr="00B91C98">
              <w:rPr>
                <w:rFonts w:asciiTheme="majorBidi" w:hAnsiTheme="majorBidi" w:cstheme="majorBidi"/>
                <w:color w:val="4472C4" w:themeColor="accent1"/>
                <w:sz w:val="24"/>
                <w:szCs w:val="24"/>
              </w:rPr>
              <w:t>Name</w:t>
            </w:r>
          </w:p>
        </w:tc>
        <w:tc>
          <w:tcPr>
            <w:tcW w:w="3112" w:type="dxa"/>
          </w:tcPr>
          <w:p w14:paraId="5C569080" w14:textId="450A1DE1" w:rsidR="00B36CCA" w:rsidRPr="00B91C98" w:rsidRDefault="00B36CCA" w:rsidP="002076CB">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4472C4" w:themeColor="accent1"/>
                <w:sz w:val="24"/>
                <w:szCs w:val="24"/>
              </w:rPr>
            </w:pPr>
            <w:r w:rsidRPr="00B91C98">
              <w:rPr>
                <w:rFonts w:asciiTheme="majorBidi" w:hAnsiTheme="majorBidi" w:cstheme="majorBidi"/>
                <w:color w:val="4472C4" w:themeColor="accent1"/>
                <w:sz w:val="24"/>
                <w:szCs w:val="24"/>
              </w:rPr>
              <w:t>Status</w:t>
            </w:r>
          </w:p>
        </w:tc>
      </w:tr>
      <w:tr w:rsidR="00F12F59" w14:paraId="11BCB0D0"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66F42C66" w14:textId="217E0C49" w:rsidR="00F12F59" w:rsidRPr="00A0368A" w:rsidRDefault="00F12F59" w:rsidP="00EB029D">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rPr>
              <w:t xml:space="preserve">Comprehensive Strategic Partnership </w:t>
            </w:r>
            <w:r w:rsidR="00EB029D">
              <w:rPr>
                <w:rFonts w:asciiTheme="majorBidi" w:hAnsiTheme="majorBidi" w:cstheme="majorBidi"/>
                <w:b w:val="0"/>
                <w:bCs w:val="0"/>
                <w:color w:val="000000" w:themeColor="text1"/>
                <w:sz w:val="24"/>
                <w:szCs w:val="24"/>
              </w:rPr>
              <w:t>Agreement</w:t>
            </w:r>
            <w:r w:rsidRPr="00A0368A">
              <w:rPr>
                <w:rFonts w:asciiTheme="majorBidi" w:hAnsiTheme="majorBidi" w:cstheme="majorBidi"/>
                <w:b w:val="0"/>
                <w:bCs w:val="0"/>
                <w:color w:val="000000" w:themeColor="text1"/>
                <w:sz w:val="24"/>
                <w:szCs w:val="24"/>
              </w:rPr>
              <w:t xml:space="preserve"> </w:t>
            </w:r>
          </w:p>
        </w:tc>
        <w:tc>
          <w:tcPr>
            <w:tcW w:w="3112" w:type="dxa"/>
          </w:tcPr>
          <w:p w14:paraId="40582CD5" w14:textId="0AEDBFB2" w:rsidR="00F12F59" w:rsidRPr="00A20202" w:rsidRDefault="00B83234" w:rsidP="00EB029D">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Sig</w:t>
            </w:r>
            <w:r w:rsidR="00EB029D">
              <w:rPr>
                <w:rFonts w:asciiTheme="majorBidi" w:hAnsiTheme="majorBidi" w:cstheme="majorBidi"/>
                <w:color w:val="000000" w:themeColor="text1"/>
                <w:sz w:val="24"/>
                <w:szCs w:val="24"/>
              </w:rPr>
              <w:t>ned in September</w:t>
            </w:r>
            <w:r w:rsidR="007663DE">
              <w:rPr>
                <w:rFonts w:asciiTheme="majorBidi" w:hAnsiTheme="majorBidi" w:cstheme="majorBidi"/>
                <w:color w:val="000000" w:themeColor="text1"/>
                <w:sz w:val="24"/>
                <w:szCs w:val="24"/>
              </w:rPr>
              <w:t xml:space="preserve"> </w:t>
            </w:r>
            <w:r w:rsidR="00EB029D">
              <w:rPr>
                <w:rFonts w:asciiTheme="majorBidi" w:hAnsiTheme="majorBidi" w:cstheme="majorBidi"/>
                <w:color w:val="000000" w:themeColor="text1"/>
                <w:sz w:val="24"/>
                <w:szCs w:val="24"/>
              </w:rPr>
              <w:t>2022</w:t>
            </w:r>
          </w:p>
        </w:tc>
      </w:tr>
      <w:tr w:rsidR="00B36CCA" w14:paraId="0ABB24EF"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0EC0D874" w14:textId="1D04CD13" w:rsidR="00B36CCA" w:rsidRPr="00A0368A" w:rsidRDefault="00B36CCA" w:rsidP="002076CB">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rPr>
              <w:t>Promotion and Protection of Investments</w:t>
            </w:r>
          </w:p>
        </w:tc>
        <w:tc>
          <w:tcPr>
            <w:tcW w:w="3112" w:type="dxa"/>
          </w:tcPr>
          <w:p w14:paraId="173C98B5" w14:textId="0701B164" w:rsidR="00B36CCA" w:rsidRPr="00A20202" w:rsidRDefault="00094916"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20202">
              <w:rPr>
                <w:rFonts w:asciiTheme="majorBidi" w:hAnsiTheme="majorBidi" w:cstheme="majorBidi"/>
                <w:color w:val="000000" w:themeColor="text1"/>
                <w:sz w:val="24"/>
                <w:szCs w:val="24"/>
              </w:rPr>
              <w:t>Signed on April 30, 2018</w:t>
            </w:r>
          </w:p>
        </w:tc>
      </w:tr>
      <w:tr w:rsidR="008A5025" w14:paraId="4CE9F243"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4FD6039D" w14:textId="648524B0" w:rsidR="008A5025" w:rsidRPr="00A0368A" w:rsidRDefault="008A5025" w:rsidP="002076CB">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rPr>
              <w:t>The Convention for the Avoidance of Double Taxation and the Prevention of Fiscal Evasion with respect to Taxes on Income</w:t>
            </w:r>
          </w:p>
        </w:tc>
        <w:tc>
          <w:tcPr>
            <w:tcW w:w="3112" w:type="dxa"/>
          </w:tcPr>
          <w:p w14:paraId="60558C08" w14:textId="697B80F7" w:rsidR="008A5025" w:rsidRPr="00A20202" w:rsidRDefault="008A5025"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20202">
              <w:rPr>
                <w:rFonts w:asciiTheme="majorBidi" w:hAnsiTheme="majorBidi" w:cstheme="majorBidi"/>
                <w:color w:val="000000" w:themeColor="text1"/>
                <w:sz w:val="24"/>
                <w:szCs w:val="24"/>
              </w:rPr>
              <w:t>Signed on May 2, 2013</w:t>
            </w:r>
          </w:p>
        </w:tc>
      </w:tr>
      <w:tr w:rsidR="00B36CCA" w14:paraId="1D7B014E"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48849BBF" w14:textId="6064BF73" w:rsidR="00B36CCA" w:rsidRPr="00A0368A" w:rsidRDefault="00094916" w:rsidP="002076CB">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shd w:val="clear" w:color="auto" w:fill="FFFFFF"/>
              </w:rPr>
              <w:t>Avoidance of Double Taxation on Income in Respect of the Operation of Ships or Aircraft in International Traffic</w:t>
            </w:r>
          </w:p>
        </w:tc>
        <w:tc>
          <w:tcPr>
            <w:tcW w:w="3112" w:type="dxa"/>
          </w:tcPr>
          <w:p w14:paraId="2257CDB3" w14:textId="7AD98BB0" w:rsidR="00B36CCA" w:rsidRPr="00A20202" w:rsidRDefault="00094916"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20202">
              <w:rPr>
                <w:rFonts w:asciiTheme="majorBidi" w:hAnsiTheme="majorBidi" w:cstheme="majorBidi"/>
                <w:color w:val="000000" w:themeColor="text1"/>
                <w:sz w:val="24"/>
                <w:szCs w:val="24"/>
              </w:rPr>
              <w:t>Signed in December 2004</w:t>
            </w:r>
          </w:p>
        </w:tc>
      </w:tr>
      <w:tr w:rsidR="005F016F" w14:paraId="73AB85FC"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12EDC66F" w14:textId="32865F32" w:rsidR="005F016F" w:rsidRPr="00A0368A" w:rsidRDefault="005F016F" w:rsidP="002076CB">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shd w:val="clear" w:color="auto" w:fill="FFFFFF"/>
              </w:rPr>
              <w:t xml:space="preserve">Cooperation in the Peaceful Uses of Nuclear Energy </w:t>
            </w:r>
          </w:p>
        </w:tc>
        <w:tc>
          <w:tcPr>
            <w:tcW w:w="3112" w:type="dxa"/>
          </w:tcPr>
          <w:p w14:paraId="46E25389" w14:textId="67FEE2A5" w:rsidR="005F016F" w:rsidRPr="00A20202" w:rsidRDefault="005F016F"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20202">
              <w:rPr>
                <w:rFonts w:asciiTheme="majorBidi" w:hAnsiTheme="majorBidi" w:cstheme="majorBidi"/>
                <w:color w:val="000000" w:themeColor="text1"/>
                <w:sz w:val="24"/>
                <w:szCs w:val="24"/>
              </w:rPr>
              <w:t>Singed in July 2014</w:t>
            </w:r>
          </w:p>
        </w:tc>
      </w:tr>
      <w:tr w:rsidR="005F016F" w14:paraId="1068AF6D"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163FFEDF" w14:textId="46FABDB4" w:rsidR="005F016F" w:rsidRPr="00A0368A" w:rsidRDefault="005F016F" w:rsidP="002076CB">
            <w:pPr>
              <w:spacing w:line="276" w:lineRule="auto"/>
              <w:rPr>
                <w:rFonts w:asciiTheme="majorBidi" w:hAnsiTheme="majorBidi" w:cstheme="majorBidi"/>
                <w:b w:val="0"/>
                <w:bCs w:val="0"/>
                <w:color w:val="000000" w:themeColor="text1"/>
                <w:sz w:val="24"/>
                <w:szCs w:val="24"/>
              </w:rPr>
            </w:pPr>
            <w:r w:rsidRPr="00A0368A">
              <w:rPr>
                <w:rFonts w:asciiTheme="majorBidi" w:hAnsiTheme="majorBidi" w:cstheme="majorBidi"/>
                <w:b w:val="0"/>
                <w:bCs w:val="0"/>
                <w:color w:val="000000" w:themeColor="text1"/>
                <w:sz w:val="24"/>
                <w:szCs w:val="24"/>
              </w:rPr>
              <w:t>Air Services  (ASA)</w:t>
            </w:r>
          </w:p>
        </w:tc>
        <w:tc>
          <w:tcPr>
            <w:tcW w:w="3112" w:type="dxa"/>
          </w:tcPr>
          <w:p w14:paraId="30218143" w14:textId="1C4C78EF" w:rsidR="005F016F" w:rsidRPr="00A20202" w:rsidRDefault="005F016F"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A20202">
              <w:rPr>
                <w:rFonts w:asciiTheme="majorBidi" w:hAnsiTheme="majorBidi" w:cstheme="majorBidi"/>
                <w:color w:val="000000" w:themeColor="text1"/>
                <w:sz w:val="24"/>
                <w:szCs w:val="24"/>
              </w:rPr>
              <w:t>Singed in March 1998</w:t>
            </w:r>
          </w:p>
        </w:tc>
      </w:tr>
      <w:tr w:rsidR="005F016F" w:rsidRPr="00EB029D" w14:paraId="5268B171"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1B1E9209" w14:textId="59A17D68" w:rsidR="005F016F" w:rsidRPr="00EB029D" w:rsidRDefault="00154963" w:rsidP="00EB029D">
            <w:pPr>
              <w:spacing w:line="276" w:lineRule="auto"/>
              <w:rPr>
                <w:rFonts w:asciiTheme="majorBidi" w:hAnsiTheme="majorBidi" w:cstheme="majorBidi"/>
                <w:color w:val="000000" w:themeColor="text1"/>
                <w:sz w:val="24"/>
                <w:szCs w:val="24"/>
              </w:rPr>
            </w:pPr>
            <w:r w:rsidRPr="00A0368A">
              <w:rPr>
                <w:rFonts w:asciiTheme="majorBidi" w:hAnsiTheme="majorBidi" w:cstheme="majorBidi"/>
                <w:b w:val="0"/>
                <w:bCs w:val="0"/>
                <w:color w:val="000000" w:themeColor="text1"/>
                <w:sz w:val="24"/>
                <w:szCs w:val="24"/>
              </w:rPr>
              <w:t>Economic Partnership Agreement</w:t>
            </w:r>
            <w:r w:rsidR="00EB029D">
              <w:rPr>
                <w:rFonts w:asciiTheme="majorBidi" w:hAnsiTheme="majorBidi" w:cstheme="majorBidi"/>
                <w:b w:val="0"/>
                <w:bCs w:val="0"/>
                <w:color w:val="000000" w:themeColor="text1"/>
                <w:sz w:val="24"/>
                <w:szCs w:val="24"/>
              </w:rPr>
              <w:t xml:space="preserve"> / </w:t>
            </w:r>
            <w:r w:rsidRPr="00A0368A">
              <w:rPr>
                <w:rFonts w:asciiTheme="majorBidi" w:hAnsiTheme="majorBidi" w:cstheme="majorBidi"/>
                <w:b w:val="0"/>
                <w:bCs w:val="0"/>
                <w:color w:val="000000" w:themeColor="text1"/>
                <w:sz w:val="24"/>
                <w:szCs w:val="24"/>
              </w:rPr>
              <w:t xml:space="preserve"> </w:t>
            </w:r>
            <w:r w:rsidR="00EB029D" w:rsidRPr="00A0368A">
              <w:rPr>
                <w:rFonts w:asciiTheme="majorBidi" w:hAnsiTheme="majorBidi" w:cstheme="majorBidi"/>
                <w:b w:val="0"/>
                <w:bCs w:val="0"/>
                <w:color w:val="000000" w:themeColor="text1"/>
                <w:sz w:val="24"/>
                <w:szCs w:val="24"/>
              </w:rPr>
              <w:t>Free Trade Agreement</w:t>
            </w:r>
          </w:p>
        </w:tc>
        <w:tc>
          <w:tcPr>
            <w:tcW w:w="3112" w:type="dxa"/>
          </w:tcPr>
          <w:p w14:paraId="7ED527E6" w14:textId="184A8B53" w:rsidR="005F016F" w:rsidRPr="00A20202"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Negotiations i</w:t>
            </w:r>
            <w:r w:rsidRPr="00EB029D">
              <w:rPr>
                <w:rFonts w:asciiTheme="majorBidi" w:hAnsiTheme="majorBidi" w:cstheme="majorBidi"/>
                <w:color w:val="000000" w:themeColor="text1"/>
                <w:sz w:val="24"/>
                <w:szCs w:val="24"/>
              </w:rPr>
              <w:t xml:space="preserve">n process </w:t>
            </w:r>
          </w:p>
        </w:tc>
      </w:tr>
      <w:tr w:rsidR="005F016F" w:rsidRPr="00EB029D" w14:paraId="7E7C34B2"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6528FB4B" w14:textId="41E6C121" w:rsidR="005F016F" w:rsidRPr="00EB029D" w:rsidRDefault="00F27804" w:rsidP="002076CB">
            <w:pPr>
              <w:spacing w:line="276" w:lineRule="auto"/>
              <w:rPr>
                <w:rFonts w:asciiTheme="majorBidi" w:hAnsiTheme="majorBidi" w:cstheme="majorBidi"/>
                <w:color w:val="000000" w:themeColor="text1"/>
                <w:sz w:val="24"/>
                <w:szCs w:val="24"/>
              </w:rPr>
            </w:pPr>
            <w:r w:rsidRPr="00A0368A">
              <w:rPr>
                <w:rFonts w:asciiTheme="majorBidi" w:hAnsiTheme="majorBidi" w:cstheme="majorBidi"/>
                <w:b w:val="0"/>
                <w:bCs w:val="0"/>
                <w:color w:val="000000" w:themeColor="text1"/>
                <w:sz w:val="24"/>
                <w:szCs w:val="24"/>
              </w:rPr>
              <w:t>Japan-UAE Strategic Economic Partnership Forum</w:t>
            </w:r>
          </w:p>
        </w:tc>
        <w:tc>
          <w:tcPr>
            <w:tcW w:w="3112" w:type="dxa"/>
          </w:tcPr>
          <w:p w14:paraId="62E4DF88" w14:textId="2E9D4391" w:rsidR="009E33BF" w:rsidRPr="00EB029D"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B029D">
              <w:rPr>
                <w:rFonts w:asciiTheme="majorBidi" w:hAnsiTheme="majorBidi" w:cstheme="majorBidi"/>
                <w:color w:val="000000" w:themeColor="text1"/>
                <w:sz w:val="24"/>
                <w:szCs w:val="24"/>
              </w:rPr>
              <w:t xml:space="preserve">Annual </w:t>
            </w:r>
          </w:p>
          <w:p w14:paraId="703D65ED" w14:textId="5B952A70" w:rsidR="00A15C13" w:rsidRPr="00EB029D" w:rsidRDefault="00A15C13"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p>
        </w:tc>
      </w:tr>
      <w:tr w:rsidR="00712149" w:rsidRPr="00EB029D" w14:paraId="4D97ADF2"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40D1B709" w14:textId="16DE5F50" w:rsidR="00712149" w:rsidRPr="00EB029D" w:rsidRDefault="00712149" w:rsidP="002076CB">
            <w:pPr>
              <w:spacing w:line="276" w:lineRule="auto"/>
              <w:rPr>
                <w:rFonts w:asciiTheme="majorBidi" w:hAnsiTheme="majorBidi" w:cstheme="majorBidi"/>
                <w:color w:val="000000" w:themeColor="text1"/>
                <w:sz w:val="24"/>
                <w:szCs w:val="24"/>
              </w:rPr>
            </w:pPr>
            <w:r w:rsidRPr="00A0368A">
              <w:rPr>
                <w:rFonts w:asciiTheme="majorBidi" w:hAnsiTheme="majorBidi" w:cstheme="majorBidi"/>
                <w:b w:val="0"/>
                <w:bCs w:val="0"/>
                <w:color w:val="000000" w:themeColor="text1"/>
                <w:sz w:val="24"/>
                <w:szCs w:val="24"/>
              </w:rPr>
              <w:t xml:space="preserve">The Abu Dhabi Japan Economic Council </w:t>
            </w:r>
          </w:p>
        </w:tc>
        <w:tc>
          <w:tcPr>
            <w:tcW w:w="3112" w:type="dxa"/>
          </w:tcPr>
          <w:p w14:paraId="4867B500" w14:textId="103DC29D" w:rsidR="00712149" w:rsidRPr="00EB029D"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Annual </w:t>
            </w:r>
          </w:p>
        </w:tc>
      </w:tr>
      <w:tr w:rsidR="005F016F" w:rsidRPr="00EB029D" w14:paraId="369C3652"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7DFE9DC0" w14:textId="1F492420" w:rsidR="005F016F" w:rsidRPr="00EB029D" w:rsidRDefault="003A72BD" w:rsidP="002076CB">
            <w:pPr>
              <w:spacing w:line="276" w:lineRule="auto"/>
              <w:rPr>
                <w:rFonts w:asciiTheme="majorBidi" w:hAnsiTheme="majorBidi" w:cstheme="majorBidi"/>
                <w:color w:val="000000" w:themeColor="text1"/>
                <w:sz w:val="24"/>
                <w:szCs w:val="24"/>
              </w:rPr>
            </w:pPr>
            <w:r w:rsidRPr="00A0368A">
              <w:rPr>
                <w:rFonts w:asciiTheme="majorBidi" w:hAnsiTheme="majorBidi" w:cstheme="majorBidi"/>
                <w:b w:val="0"/>
                <w:bCs w:val="0"/>
                <w:color w:val="000000" w:themeColor="text1"/>
                <w:sz w:val="24"/>
                <w:szCs w:val="24"/>
              </w:rPr>
              <w:t>The Japan-UAE Joint Economic Committee</w:t>
            </w:r>
          </w:p>
        </w:tc>
        <w:tc>
          <w:tcPr>
            <w:tcW w:w="3112" w:type="dxa"/>
          </w:tcPr>
          <w:p w14:paraId="2BF6D027" w14:textId="005E8135" w:rsidR="005F016F" w:rsidRPr="00A20202"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EB029D">
              <w:rPr>
                <w:rFonts w:asciiTheme="majorBidi" w:hAnsiTheme="majorBidi" w:cstheme="majorBidi"/>
                <w:color w:val="000000" w:themeColor="text1"/>
                <w:sz w:val="24"/>
                <w:szCs w:val="24"/>
              </w:rPr>
              <w:t>Annual</w:t>
            </w:r>
          </w:p>
        </w:tc>
      </w:tr>
      <w:tr w:rsidR="00EB262E" w:rsidRPr="00EB029D" w14:paraId="308A5AE0" w14:textId="77777777" w:rsidTr="00A0368A">
        <w:trPr>
          <w:trHeight w:val="567"/>
        </w:trPr>
        <w:tc>
          <w:tcPr>
            <w:cnfStyle w:val="001000000000" w:firstRow="0" w:lastRow="0" w:firstColumn="1" w:lastColumn="0" w:oddVBand="0" w:evenVBand="0" w:oddHBand="0" w:evenHBand="0" w:firstRowFirstColumn="0" w:firstRowLastColumn="0" w:lastRowFirstColumn="0" w:lastRowLastColumn="0"/>
            <w:tcW w:w="6232" w:type="dxa"/>
          </w:tcPr>
          <w:p w14:paraId="2463FD4C" w14:textId="50D83779" w:rsidR="00EB262E" w:rsidRPr="00EB029D" w:rsidRDefault="00EB262E" w:rsidP="002076CB">
            <w:pPr>
              <w:spacing w:line="276" w:lineRule="auto"/>
              <w:rPr>
                <w:rFonts w:asciiTheme="majorBidi" w:hAnsiTheme="majorBidi" w:cstheme="majorBidi"/>
                <w:color w:val="000000" w:themeColor="text1"/>
                <w:sz w:val="24"/>
                <w:szCs w:val="24"/>
              </w:rPr>
            </w:pPr>
            <w:r w:rsidRPr="00A0368A">
              <w:rPr>
                <w:rFonts w:asciiTheme="majorBidi" w:hAnsiTheme="majorBidi" w:cstheme="majorBidi"/>
                <w:b w:val="0"/>
                <w:bCs w:val="0"/>
                <w:color w:val="000000" w:themeColor="text1"/>
                <w:sz w:val="24"/>
                <w:szCs w:val="24"/>
              </w:rPr>
              <w:t xml:space="preserve">UAE-Japan Business Council </w:t>
            </w:r>
          </w:p>
        </w:tc>
        <w:tc>
          <w:tcPr>
            <w:tcW w:w="3112" w:type="dxa"/>
          </w:tcPr>
          <w:p w14:paraId="3485F170" w14:textId="195EFD97" w:rsidR="00EB029D"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In process </w:t>
            </w:r>
          </w:p>
          <w:p w14:paraId="2AF9143E" w14:textId="3E7BF57F" w:rsidR="00EB262E" w:rsidRPr="00EB029D" w:rsidRDefault="00EB029D" w:rsidP="002076CB">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To be established in 2023</w:t>
            </w:r>
          </w:p>
        </w:tc>
      </w:tr>
    </w:tbl>
    <w:p w14:paraId="44611D71" w14:textId="33A7F8CA" w:rsidR="002076CB" w:rsidRPr="00EB029D" w:rsidRDefault="002076CB" w:rsidP="00EB029D">
      <w:pPr>
        <w:spacing w:after="0" w:line="276" w:lineRule="auto"/>
        <w:rPr>
          <w:rFonts w:asciiTheme="majorBidi" w:hAnsiTheme="majorBidi" w:cstheme="majorBidi"/>
          <w:color w:val="000000" w:themeColor="text1"/>
          <w:sz w:val="24"/>
          <w:szCs w:val="24"/>
        </w:rPr>
      </w:pPr>
    </w:p>
    <w:sectPr w:rsidR="002076CB" w:rsidRPr="00EB029D" w:rsidSect="0072666C">
      <w:headerReference w:type="default" r:id="rId17"/>
      <w:footerReference w:type="default" r:id="rId1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006B" w14:textId="77777777" w:rsidR="00545514" w:rsidRDefault="00545514" w:rsidP="0072666C">
      <w:pPr>
        <w:spacing w:after="0" w:line="240" w:lineRule="auto"/>
      </w:pPr>
      <w:r>
        <w:separator/>
      </w:r>
    </w:p>
  </w:endnote>
  <w:endnote w:type="continuationSeparator" w:id="0">
    <w:p w14:paraId="38BB4CB1" w14:textId="77777777" w:rsidR="00545514" w:rsidRDefault="00545514" w:rsidP="0072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3DBE" w14:textId="77777777" w:rsidR="00E92335" w:rsidRDefault="00E9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B9613" w14:textId="77777777" w:rsidR="00545514" w:rsidRDefault="00545514" w:rsidP="0072666C">
      <w:pPr>
        <w:spacing w:after="0" w:line="240" w:lineRule="auto"/>
      </w:pPr>
      <w:r>
        <w:separator/>
      </w:r>
    </w:p>
  </w:footnote>
  <w:footnote w:type="continuationSeparator" w:id="0">
    <w:p w14:paraId="2F3E7739" w14:textId="77777777" w:rsidR="00545514" w:rsidRDefault="00545514" w:rsidP="00726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4CA7" w14:textId="06D1F207" w:rsidR="009A0DC7" w:rsidRDefault="009A0DC7">
    <w:pPr>
      <w:pStyle w:val="Header"/>
    </w:pPr>
    <w:r>
      <w:rPr>
        <w:noProof/>
        <w:lang w:val="en-US" w:eastAsia="en-US"/>
      </w:rPr>
      <w:drawing>
        <wp:anchor distT="0" distB="0" distL="114300" distR="114300" simplePos="0" relativeHeight="251659264" behindDoc="0" locked="0" layoutInCell="1" allowOverlap="1" wp14:anchorId="3F3EB0C3" wp14:editId="3B20594F">
          <wp:simplePos x="0" y="0"/>
          <wp:positionH relativeFrom="column">
            <wp:posOffset>880745</wp:posOffset>
          </wp:positionH>
          <wp:positionV relativeFrom="paragraph">
            <wp:posOffset>-382905</wp:posOffset>
          </wp:positionV>
          <wp:extent cx="3924300" cy="838200"/>
          <wp:effectExtent l="0" t="0" r="0" b="0"/>
          <wp:wrapThrough wrapText="bothSides">
            <wp:wrapPolygon edited="0">
              <wp:start x="0" y="0"/>
              <wp:lineTo x="0" y="21109"/>
              <wp:lineTo x="21495" y="21109"/>
              <wp:lineTo x="2149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F2855" w14:textId="77777777" w:rsidR="009A0DC7" w:rsidRDefault="009A0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3"/>
      </v:shape>
    </w:pict>
  </w:numPicBullet>
  <w:abstractNum w:abstractNumId="0" w15:restartNumberingAfterBreak="0">
    <w:nsid w:val="02F77D6A"/>
    <w:multiLevelType w:val="hybridMultilevel"/>
    <w:tmpl w:val="33E6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7FC2"/>
    <w:multiLevelType w:val="multilevel"/>
    <w:tmpl w:val="FD1E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0E22"/>
    <w:multiLevelType w:val="hybridMultilevel"/>
    <w:tmpl w:val="BFC0B8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D3BB9"/>
    <w:multiLevelType w:val="multilevel"/>
    <w:tmpl w:val="BBC6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65471"/>
    <w:multiLevelType w:val="hybridMultilevel"/>
    <w:tmpl w:val="0D9A34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6516"/>
    <w:multiLevelType w:val="multilevel"/>
    <w:tmpl w:val="882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F375B"/>
    <w:multiLevelType w:val="multilevel"/>
    <w:tmpl w:val="C978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6F3400"/>
    <w:multiLevelType w:val="hybridMultilevel"/>
    <w:tmpl w:val="23F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C56FD"/>
    <w:multiLevelType w:val="multilevel"/>
    <w:tmpl w:val="02A0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C3F7B"/>
    <w:multiLevelType w:val="multilevel"/>
    <w:tmpl w:val="10E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C55659"/>
    <w:multiLevelType w:val="multilevel"/>
    <w:tmpl w:val="9E72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E6238"/>
    <w:multiLevelType w:val="multilevel"/>
    <w:tmpl w:val="A900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B3BE0"/>
    <w:multiLevelType w:val="hybridMultilevel"/>
    <w:tmpl w:val="7D48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01438"/>
    <w:multiLevelType w:val="hybridMultilevel"/>
    <w:tmpl w:val="A38A8A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E75DE"/>
    <w:multiLevelType w:val="hybridMultilevel"/>
    <w:tmpl w:val="62DC05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C3369"/>
    <w:multiLevelType w:val="hybridMultilevel"/>
    <w:tmpl w:val="1DC4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7738C"/>
    <w:multiLevelType w:val="multilevel"/>
    <w:tmpl w:val="2E38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65CBB"/>
    <w:multiLevelType w:val="multilevel"/>
    <w:tmpl w:val="5D8E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4E2DAD"/>
    <w:multiLevelType w:val="hybridMultilevel"/>
    <w:tmpl w:val="10E09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5269C"/>
    <w:multiLevelType w:val="multilevel"/>
    <w:tmpl w:val="DE9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25700D"/>
    <w:multiLevelType w:val="hybridMultilevel"/>
    <w:tmpl w:val="F7F6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5"/>
  </w:num>
  <w:num w:numId="4">
    <w:abstractNumId w:val="2"/>
  </w:num>
  <w:num w:numId="5">
    <w:abstractNumId w:val="7"/>
  </w:num>
  <w:num w:numId="6">
    <w:abstractNumId w:val="15"/>
  </w:num>
  <w:num w:numId="7">
    <w:abstractNumId w:val="9"/>
  </w:num>
  <w:num w:numId="8">
    <w:abstractNumId w:val="6"/>
  </w:num>
  <w:num w:numId="9">
    <w:abstractNumId w:val="19"/>
  </w:num>
  <w:num w:numId="10">
    <w:abstractNumId w:val="12"/>
  </w:num>
  <w:num w:numId="11">
    <w:abstractNumId w:val="20"/>
  </w:num>
  <w:num w:numId="12">
    <w:abstractNumId w:val="16"/>
  </w:num>
  <w:num w:numId="13">
    <w:abstractNumId w:val="8"/>
  </w:num>
  <w:num w:numId="14">
    <w:abstractNumId w:val="3"/>
  </w:num>
  <w:num w:numId="15">
    <w:abstractNumId w:val="11"/>
  </w:num>
  <w:num w:numId="16">
    <w:abstractNumId w:val="10"/>
  </w:num>
  <w:num w:numId="17">
    <w:abstractNumId w:val="4"/>
  </w:num>
  <w:num w:numId="18">
    <w:abstractNumId w:val="14"/>
  </w:num>
  <w:num w:numId="19">
    <w:abstractNumId w:val="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58"/>
    <w:rsid w:val="00003DDA"/>
    <w:rsid w:val="000059F1"/>
    <w:rsid w:val="000119CA"/>
    <w:rsid w:val="00016AEA"/>
    <w:rsid w:val="00017381"/>
    <w:rsid w:val="0002043E"/>
    <w:rsid w:val="00026F2F"/>
    <w:rsid w:val="000314AF"/>
    <w:rsid w:val="000323D9"/>
    <w:rsid w:val="00033E4A"/>
    <w:rsid w:val="00034607"/>
    <w:rsid w:val="00037EEF"/>
    <w:rsid w:val="0004106C"/>
    <w:rsid w:val="00042980"/>
    <w:rsid w:val="00042A09"/>
    <w:rsid w:val="00043216"/>
    <w:rsid w:val="000464A9"/>
    <w:rsid w:val="000514C2"/>
    <w:rsid w:val="000541E6"/>
    <w:rsid w:val="00055748"/>
    <w:rsid w:val="000572E8"/>
    <w:rsid w:val="0006004E"/>
    <w:rsid w:val="000602F5"/>
    <w:rsid w:val="00066393"/>
    <w:rsid w:val="00066B2B"/>
    <w:rsid w:val="000733BE"/>
    <w:rsid w:val="00073D88"/>
    <w:rsid w:val="0007446C"/>
    <w:rsid w:val="00074DB0"/>
    <w:rsid w:val="00080DD3"/>
    <w:rsid w:val="00081B32"/>
    <w:rsid w:val="00084354"/>
    <w:rsid w:val="000851CF"/>
    <w:rsid w:val="0009025C"/>
    <w:rsid w:val="00092950"/>
    <w:rsid w:val="00092E8E"/>
    <w:rsid w:val="00094916"/>
    <w:rsid w:val="00096F51"/>
    <w:rsid w:val="000A3AA2"/>
    <w:rsid w:val="000B19C2"/>
    <w:rsid w:val="000B20F8"/>
    <w:rsid w:val="000B23B2"/>
    <w:rsid w:val="000B2748"/>
    <w:rsid w:val="000B3F08"/>
    <w:rsid w:val="000B4058"/>
    <w:rsid w:val="000B706F"/>
    <w:rsid w:val="000C031E"/>
    <w:rsid w:val="000C564A"/>
    <w:rsid w:val="000D0CBB"/>
    <w:rsid w:val="000D1305"/>
    <w:rsid w:val="000D2C02"/>
    <w:rsid w:val="000D5BAF"/>
    <w:rsid w:val="000D6E51"/>
    <w:rsid w:val="000E0B7E"/>
    <w:rsid w:val="000E4A56"/>
    <w:rsid w:val="000F00B0"/>
    <w:rsid w:val="000F0502"/>
    <w:rsid w:val="000F16D5"/>
    <w:rsid w:val="000F1C64"/>
    <w:rsid w:val="000F1CCE"/>
    <w:rsid w:val="000F1E23"/>
    <w:rsid w:val="000F5826"/>
    <w:rsid w:val="000F672F"/>
    <w:rsid w:val="001022D5"/>
    <w:rsid w:val="00102CFD"/>
    <w:rsid w:val="00103EB8"/>
    <w:rsid w:val="001049F1"/>
    <w:rsid w:val="0010591C"/>
    <w:rsid w:val="00105DD8"/>
    <w:rsid w:val="001065A7"/>
    <w:rsid w:val="001065F2"/>
    <w:rsid w:val="00107A64"/>
    <w:rsid w:val="00114CAC"/>
    <w:rsid w:val="00117933"/>
    <w:rsid w:val="00120F2C"/>
    <w:rsid w:val="00123EAA"/>
    <w:rsid w:val="001432EB"/>
    <w:rsid w:val="0014668A"/>
    <w:rsid w:val="00146855"/>
    <w:rsid w:val="00151F73"/>
    <w:rsid w:val="00153F75"/>
    <w:rsid w:val="00154528"/>
    <w:rsid w:val="00154963"/>
    <w:rsid w:val="00156862"/>
    <w:rsid w:val="00157101"/>
    <w:rsid w:val="001605A8"/>
    <w:rsid w:val="001642D3"/>
    <w:rsid w:val="00166278"/>
    <w:rsid w:val="001719CF"/>
    <w:rsid w:val="00172B43"/>
    <w:rsid w:val="00173B07"/>
    <w:rsid w:val="0018111A"/>
    <w:rsid w:val="001812BD"/>
    <w:rsid w:val="0018232D"/>
    <w:rsid w:val="0018316A"/>
    <w:rsid w:val="00185611"/>
    <w:rsid w:val="00186700"/>
    <w:rsid w:val="001917A9"/>
    <w:rsid w:val="00193B9F"/>
    <w:rsid w:val="00193C9B"/>
    <w:rsid w:val="00197D7D"/>
    <w:rsid w:val="001A03CB"/>
    <w:rsid w:val="001A0C29"/>
    <w:rsid w:val="001A2F1B"/>
    <w:rsid w:val="001A3FF8"/>
    <w:rsid w:val="001A5561"/>
    <w:rsid w:val="001B02BB"/>
    <w:rsid w:val="001B3852"/>
    <w:rsid w:val="001C45A0"/>
    <w:rsid w:val="001C47E5"/>
    <w:rsid w:val="001C4856"/>
    <w:rsid w:val="001C5B33"/>
    <w:rsid w:val="001D07D0"/>
    <w:rsid w:val="001D0D8A"/>
    <w:rsid w:val="001D22AB"/>
    <w:rsid w:val="001D3DD3"/>
    <w:rsid w:val="001E65B6"/>
    <w:rsid w:val="001E66EC"/>
    <w:rsid w:val="001F4183"/>
    <w:rsid w:val="001F4879"/>
    <w:rsid w:val="001F67DD"/>
    <w:rsid w:val="002011DC"/>
    <w:rsid w:val="00202F40"/>
    <w:rsid w:val="00203BA7"/>
    <w:rsid w:val="00204BFD"/>
    <w:rsid w:val="002053BB"/>
    <w:rsid w:val="002076CB"/>
    <w:rsid w:val="002115C2"/>
    <w:rsid w:val="00212304"/>
    <w:rsid w:val="00221EB3"/>
    <w:rsid w:val="00223DB5"/>
    <w:rsid w:val="00225A2D"/>
    <w:rsid w:val="0022634B"/>
    <w:rsid w:val="0023618C"/>
    <w:rsid w:val="002377C3"/>
    <w:rsid w:val="00240400"/>
    <w:rsid w:val="00242D0F"/>
    <w:rsid w:val="00245C2D"/>
    <w:rsid w:val="0025053B"/>
    <w:rsid w:val="00252ED2"/>
    <w:rsid w:val="00255C3B"/>
    <w:rsid w:val="002573DA"/>
    <w:rsid w:val="002643E3"/>
    <w:rsid w:val="0026468A"/>
    <w:rsid w:val="00266C51"/>
    <w:rsid w:val="00275C46"/>
    <w:rsid w:val="002764D9"/>
    <w:rsid w:val="0028011C"/>
    <w:rsid w:val="002825FE"/>
    <w:rsid w:val="002847B2"/>
    <w:rsid w:val="00291E7C"/>
    <w:rsid w:val="00296074"/>
    <w:rsid w:val="002A18EF"/>
    <w:rsid w:val="002A5CE8"/>
    <w:rsid w:val="002B0F5A"/>
    <w:rsid w:val="002B25CE"/>
    <w:rsid w:val="002B300A"/>
    <w:rsid w:val="002B34A1"/>
    <w:rsid w:val="002B5A2C"/>
    <w:rsid w:val="002B6140"/>
    <w:rsid w:val="002C6B1F"/>
    <w:rsid w:val="002C750B"/>
    <w:rsid w:val="002D1459"/>
    <w:rsid w:val="002D15C9"/>
    <w:rsid w:val="002D2E02"/>
    <w:rsid w:val="002D4DF7"/>
    <w:rsid w:val="002E1196"/>
    <w:rsid w:val="002E1BC0"/>
    <w:rsid w:val="002E37EF"/>
    <w:rsid w:val="002E6706"/>
    <w:rsid w:val="002E733A"/>
    <w:rsid w:val="002F2622"/>
    <w:rsid w:val="002F2D40"/>
    <w:rsid w:val="002F35DE"/>
    <w:rsid w:val="002F4165"/>
    <w:rsid w:val="002F6F61"/>
    <w:rsid w:val="00302362"/>
    <w:rsid w:val="00303AA5"/>
    <w:rsid w:val="0030462C"/>
    <w:rsid w:val="0030506E"/>
    <w:rsid w:val="00305F37"/>
    <w:rsid w:val="00306B6B"/>
    <w:rsid w:val="003110AD"/>
    <w:rsid w:val="00313352"/>
    <w:rsid w:val="00314944"/>
    <w:rsid w:val="00315F4A"/>
    <w:rsid w:val="00317CB9"/>
    <w:rsid w:val="00331337"/>
    <w:rsid w:val="00335515"/>
    <w:rsid w:val="00335FF5"/>
    <w:rsid w:val="00337138"/>
    <w:rsid w:val="003430EE"/>
    <w:rsid w:val="00343401"/>
    <w:rsid w:val="00343568"/>
    <w:rsid w:val="00344D30"/>
    <w:rsid w:val="00346BFF"/>
    <w:rsid w:val="00347A97"/>
    <w:rsid w:val="00347B6D"/>
    <w:rsid w:val="003512E3"/>
    <w:rsid w:val="00352DE2"/>
    <w:rsid w:val="00353BD3"/>
    <w:rsid w:val="00353C00"/>
    <w:rsid w:val="00353D37"/>
    <w:rsid w:val="00357112"/>
    <w:rsid w:val="00357370"/>
    <w:rsid w:val="00360B05"/>
    <w:rsid w:val="003632A6"/>
    <w:rsid w:val="00366DC9"/>
    <w:rsid w:val="00366DCC"/>
    <w:rsid w:val="00367462"/>
    <w:rsid w:val="0037032E"/>
    <w:rsid w:val="00370603"/>
    <w:rsid w:val="003732F1"/>
    <w:rsid w:val="0037604F"/>
    <w:rsid w:val="00377ED1"/>
    <w:rsid w:val="00382644"/>
    <w:rsid w:val="00383E59"/>
    <w:rsid w:val="00384B89"/>
    <w:rsid w:val="003859D5"/>
    <w:rsid w:val="003863D2"/>
    <w:rsid w:val="003911F9"/>
    <w:rsid w:val="00392D19"/>
    <w:rsid w:val="00394445"/>
    <w:rsid w:val="003964BC"/>
    <w:rsid w:val="00397A1C"/>
    <w:rsid w:val="00397A5E"/>
    <w:rsid w:val="00397E16"/>
    <w:rsid w:val="003A286B"/>
    <w:rsid w:val="003A2C65"/>
    <w:rsid w:val="003A30DA"/>
    <w:rsid w:val="003A72BD"/>
    <w:rsid w:val="003A7C8F"/>
    <w:rsid w:val="003B0252"/>
    <w:rsid w:val="003B2DA7"/>
    <w:rsid w:val="003B5037"/>
    <w:rsid w:val="003B5717"/>
    <w:rsid w:val="003B7028"/>
    <w:rsid w:val="003B7AAB"/>
    <w:rsid w:val="003B7ADC"/>
    <w:rsid w:val="003B7F87"/>
    <w:rsid w:val="003C2499"/>
    <w:rsid w:val="003C3383"/>
    <w:rsid w:val="003C4A87"/>
    <w:rsid w:val="003C5120"/>
    <w:rsid w:val="003C54CF"/>
    <w:rsid w:val="003C6511"/>
    <w:rsid w:val="003C7693"/>
    <w:rsid w:val="003C7C02"/>
    <w:rsid w:val="003D1316"/>
    <w:rsid w:val="003D2C10"/>
    <w:rsid w:val="003D2FFF"/>
    <w:rsid w:val="003D535F"/>
    <w:rsid w:val="003D5B80"/>
    <w:rsid w:val="003E0BD3"/>
    <w:rsid w:val="003E1AE7"/>
    <w:rsid w:val="003E3AA3"/>
    <w:rsid w:val="003E50D6"/>
    <w:rsid w:val="003E5C98"/>
    <w:rsid w:val="003E6794"/>
    <w:rsid w:val="003F08C0"/>
    <w:rsid w:val="003F17BD"/>
    <w:rsid w:val="003F35B9"/>
    <w:rsid w:val="003F3E17"/>
    <w:rsid w:val="003F56F8"/>
    <w:rsid w:val="003F6AEE"/>
    <w:rsid w:val="003F6C3B"/>
    <w:rsid w:val="0040779E"/>
    <w:rsid w:val="00413C5C"/>
    <w:rsid w:val="0041415E"/>
    <w:rsid w:val="00414EE3"/>
    <w:rsid w:val="00417471"/>
    <w:rsid w:val="004201C1"/>
    <w:rsid w:val="004212FE"/>
    <w:rsid w:val="004226A4"/>
    <w:rsid w:val="00424F43"/>
    <w:rsid w:val="0042794F"/>
    <w:rsid w:val="0043216B"/>
    <w:rsid w:val="004322C5"/>
    <w:rsid w:val="00433B42"/>
    <w:rsid w:val="00433C36"/>
    <w:rsid w:val="004352EB"/>
    <w:rsid w:val="00436BB9"/>
    <w:rsid w:val="004370CF"/>
    <w:rsid w:val="00443132"/>
    <w:rsid w:val="0044450E"/>
    <w:rsid w:val="004455D8"/>
    <w:rsid w:val="004459B4"/>
    <w:rsid w:val="00446384"/>
    <w:rsid w:val="00446A6A"/>
    <w:rsid w:val="00447FFB"/>
    <w:rsid w:val="00450E06"/>
    <w:rsid w:val="00451510"/>
    <w:rsid w:val="00452DC8"/>
    <w:rsid w:val="00453D98"/>
    <w:rsid w:val="00455E0F"/>
    <w:rsid w:val="004600BD"/>
    <w:rsid w:val="00460AB0"/>
    <w:rsid w:val="00461228"/>
    <w:rsid w:val="004616CD"/>
    <w:rsid w:val="00461E08"/>
    <w:rsid w:val="004646A0"/>
    <w:rsid w:val="00464841"/>
    <w:rsid w:val="004668DF"/>
    <w:rsid w:val="004672DD"/>
    <w:rsid w:val="0046739A"/>
    <w:rsid w:val="0046795F"/>
    <w:rsid w:val="00472D1A"/>
    <w:rsid w:val="00477D6D"/>
    <w:rsid w:val="004818FE"/>
    <w:rsid w:val="00485BD4"/>
    <w:rsid w:val="004868BA"/>
    <w:rsid w:val="00492DD9"/>
    <w:rsid w:val="00494AEA"/>
    <w:rsid w:val="00494B53"/>
    <w:rsid w:val="0049501C"/>
    <w:rsid w:val="0049581B"/>
    <w:rsid w:val="00497BC2"/>
    <w:rsid w:val="004A07AC"/>
    <w:rsid w:val="004A1324"/>
    <w:rsid w:val="004A62B0"/>
    <w:rsid w:val="004A6A35"/>
    <w:rsid w:val="004B31B4"/>
    <w:rsid w:val="004B38FA"/>
    <w:rsid w:val="004C0211"/>
    <w:rsid w:val="004C12F8"/>
    <w:rsid w:val="004C26CF"/>
    <w:rsid w:val="004C35B3"/>
    <w:rsid w:val="004C4377"/>
    <w:rsid w:val="004C44D6"/>
    <w:rsid w:val="004C5BCD"/>
    <w:rsid w:val="004D1869"/>
    <w:rsid w:val="004D2211"/>
    <w:rsid w:val="004D2871"/>
    <w:rsid w:val="004D327C"/>
    <w:rsid w:val="004D4F3F"/>
    <w:rsid w:val="004E2F1A"/>
    <w:rsid w:val="004F118F"/>
    <w:rsid w:val="004F305B"/>
    <w:rsid w:val="004F454B"/>
    <w:rsid w:val="004F45B0"/>
    <w:rsid w:val="004F77A4"/>
    <w:rsid w:val="00504522"/>
    <w:rsid w:val="00505506"/>
    <w:rsid w:val="00506C09"/>
    <w:rsid w:val="00510CB8"/>
    <w:rsid w:val="00513A63"/>
    <w:rsid w:val="00513C86"/>
    <w:rsid w:val="00517907"/>
    <w:rsid w:val="00517A23"/>
    <w:rsid w:val="00517AFB"/>
    <w:rsid w:val="005206FF"/>
    <w:rsid w:val="0052253D"/>
    <w:rsid w:val="00525110"/>
    <w:rsid w:val="00525376"/>
    <w:rsid w:val="00527AE6"/>
    <w:rsid w:val="00530A89"/>
    <w:rsid w:val="00531C18"/>
    <w:rsid w:val="00532418"/>
    <w:rsid w:val="00534A4D"/>
    <w:rsid w:val="00535D4F"/>
    <w:rsid w:val="0054099C"/>
    <w:rsid w:val="00545514"/>
    <w:rsid w:val="00545DE3"/>
    <w:rsid w:val="00546A6D"/>
    <w:rsid w:val="005477BB"/>
    <w:rsid w:val="005478E6"/>
    <w:rsid w:val="0055107C"/>
    <w:rsid w:val="0055273B"/>
    <w:rsid w:val="00554679"/>
    <w:rsid w:val="005557CF"/>
    <w:rsid w:val="00556131"/>
    <w:rsid w:val="00557B52"/>
    <w:rsid w:val="00565E96"/>
    <w:rsid w:val="00570A84"/>
    <w:rsid w:val="00574D01"/>
    <w:rsid w:val="00576C8B"/>
    <w:rsid w:val="00583096"/>
    <w:rsid w:val="00587958"/>
    <w:rsid w:val="00590EAA"/>
    <w:rsid w:val="0059528E"/>
    <w:rsid w:val="00596C60"/>
    <w:rsid w:val="005A5A86"/>
    <w:rsid w:val="005A7F20"/>
    <w:rsid w:val="005B1606"/>
    <w:rsid w:val="005B2822"/>
    <w:rsid w:val="005B3255"/>
    <w:rsid w:val="005B37A6"/>
    <w:rsid w:val="005B63B3"/>
    <w:rsid w:val="005C259F"/>
    <w:rsid w:val="005C25BF"/>
    <w:rsid w:val="005C4A85"/>
    <w:rsid w:val="005C72DF"/>
    <w:rsid w:val="005C72EF"/>
    <w:rsid w:val="005D1FA6"/>
    <w:rsid w:val="005D2CCE"/>
    <w:rsid w:val="005D3746"/>
    <w:rsid w:val="005D3BCD"/>
    <w:rsid w:val="005D4818"/>
    <w:rsid w:val="005D5E8D"/>
    <w:rsid w:val="005D6263"/>
    <w:rsid w:val="005E072D"/>
    <w:rsid w:val="005E2319"/>
    <w:rsid w:val="005E249F"/>
    <w:rsid w:val="005F016F"/>
    <w:rsid w:val="005F061A"/>
    <w:rsid w:val="005F0622"/>
    <w:rsid w:val="005F21D3"/>
    <w:rsid w:val="005F2295"/>
    <w:rsid w:val="005F2955"/>
    <w:rsid w:val="005F5A98"/>
    <w:rsid w:val="005F6F96"/>
    <w:rsid w:val="0060026F"/>
    <w:rsid w:val="00610064"/>
    <w:rsid w:val="00611613"/>
    <w:rsid w:val="0061368E"/>
    <w:rsid w:val="00613C96"/>
    <w:rsid w:val="00614A67"/>
    <w:rsid w:val="00616965"/>
    <w:rsid w:val="00616E9D"/>
    <w:rsid w:val="0061747A"/>
    <w:rsid w:val="00624516"/>
    <w:rsid w:val="00624B51"/>
    <w:rsid w:val="00625450"/>
    <w:rsid w:val="00626E0B"/>
    <w:rsid w:val="00626E44"/>
    <w:rsid w:val="00627796"/>
    <w:rsid w:val="0063049B"/>
    <w:rsid w:val="00630F22"/>
    <w:rsid w:val="0063116A"/>
    <w:rsid w:val="0063231B"/>
    <w:rsid w:val="006339B9"/>
    <w:rsid w:val="0063676A"/>
    <w:rsid w:val="00636878"/>
    <w:rsid w:val="00637EE5"/>
    <w:rsid w:val="00642DA5"/>
    <w:rsid w:val="00643ED4"/>
    <w:rsid w:val="00646BD6"/>
    <w:rsid w:val="00647A4E"/>
    <w:rsid w:val="00650D71"/>
    <w:rsid w:val="00652DE0"/>
    <w:rsid w:val="0065553F"/>
    <w:rsid w:val="00662591"/>
    <w:rsid w:val="006630E1"/>
    <w:rsid w:val="00664689"/>
    <w:rsid w:val="00666AE0"/>
    <w:rsid w:val="00671508"/>
    <w:rsid w:val="0068291D"/>
    <w:rsid w:val="00685149"/>
    <w:rsid w:val="006851FD"/>
    <w:rsid w:val="00686379"/>
    <w:rsid w:val="00687045"/>
    <w:rsid w:val="006908A8"/>
    <w:rsid w:val="006923AD"/>
    <w:rsid w:val="00693BE5"/>
    <w:rsid w:val="00697480"/>
    <w:rsid w:val="006A0834"/>
    <w:rsid w:val="006A10BC"/>
    <w:rsid w:val="006A1785"/>
    <w:rsid w:val="006A35BE"/>
    <w:rsid w:val="006A53CD"/>
    <w:rsid w:val="006A7E97"/>
    <w:rsid w:val="006B2FA9"/>
    <w:rsid w:val="006B39E8"/>
    <w:rsid w:val="006B3AED"/>
    <w:rsid w:val="006B5E1B"/>
    <w:rsid w:val="006C2017"/>
    <w:rsid w:val="006C44C4"/>
    <w:rsid w:val="006C5A06"/>
    <w:rsid w:val="006C7B34"/>
    <w:rsid w:val="006D1D9E"/>
    <w:rsid w:val="006D3301"/>
    <w:rsid w:val="006D5AC8"/>
    <w:rsid w:val="006D762F"/>
    <w:rsid w:val="006D7971"/>
    <w:rsid w:val="006E347B"/>
    <w:rsid w:val="006E5E6F"/>
    <w:rsid w:val="006E66F6"/>
    <w:rsid w:val="006E7415"/>
    <w:rsid w:val="006F13EB"/>
    <w:rsid w:val="006F760A"/>
    <w:rsid w:val="006F7961"/>
    <w:rsid w:val="006F7E58"/>
    <w:rsid w:val="00700DB8"/>
    <w:rsid w:val="007030CB"/>
    <w:rsid w:val="007050CD"/>
    <w:rsid w:val="00710119"/>
    <w:rsid w:val="007113D9"/>
    <w:rsid w:val="00711558"/>
    <w:rsid w:val="00712149"/>
    <w:rsid w:val="0071634D"/>
    <w:rsid w:val="00722EE6"/>
    <w:rsid w:val="0072573B"/>
    <w:rsid w:val="0072666C"/>
    <w:rsid w:val="00726D3B"/>
    <w:rsid w:val="00727F47"/>
    <w:rsid w:val="00731573"/>
    <w:rsid w:val="007318DA"/>
    <w:rsid w:val="00733193"/>
    <w:rsid w:val="00733CC6"/>
    <w:rsid w:val="0073407F"/>
    <w:rsid w:val="00742193"/>
    <w:rsid w:val="0074587B"/>
    <w:rsid w:val="00745E63"/>
    <w:rsid w:val="007464DE"/>
    <w:rsid w:val="00747ED0"/>
    <w:rsid w:val="007500CC"/>
    <w:rsid w:val="00750AC3"/>
    <w:rsid w:val="00751D9E"/>
    <w:rsid w:val="00754DFE"/>
    <w:rsid w:val="0075547F"/>
    <w:rsid w:val="00761F17"/>
    <w:rsid w:val="007638A3"/>
    <w:rsid w:val="00766157"/>
    <w:rsid w:val="007663DE"/>
    <w:rsid w:val="0077038E"/>
    <w:rsid w:val="00776EBB"/>
    <w:rsid w:val="007814FF"/>
    <w:rsid w:val="00782E84"/>
    <w:rsid w:val="007833B2"/>
    <w:rsid w:val="00784E56"/>
    <w:rsid w:val="00784E93"/>
    <w:rsid w:val="007878C8"/>
    <w:rsid w:val="00791898"/>
    <w:rsid w:val="007978F5"/>
    <w:rsid w:val="007A3EAA"/>
    <w:rsid w:val="007A3F10"/>
    <w:rsid w:val="007A6AFA"/>
    <w:rsid w:val="007B48B2"/>
    <w:rsid w:val="007B685E"/>
    <w:rsid w:val="007B784D"/>
    <w:rsid w:val="007C7479"/>
    <w:rsid w:val="007C7B07"/>
    <w:rsid w:val="007D28A4"/>
    <w:rsid w:val="007D5E5E"/>
    <w:rsid w:val="007E1BEE"/>
    <w:rsid w:val="007E4389"/>
    <w:rsid w:val="007E4E9F"/>
    <w:rsid w:val="007E66D8"/>
    <w:rsid w:val="007E6826"/>
    <w:rsid w:val="007E68B1"/>
    <w:rsid w:val="007E6E7C"/>
    <w:rsid w:val="007F0F08"/>
    <w:rsid w:val="007F12DD"/>
    <w:rsid w:val="007F16A0"/>
    <w:rsid w:val="007F2B3A"/>
    <w:rsid w:val="007F46BA"/>
    <w:rsid w:val="007F47BD"/>
    <w:rsid w:val="007F61A8"/>
    <w:rsid w:val="0080082C"/>
    <w:rsid w:val="00803DD2"/>
    <w:rsid w:val="00804720"/>
    <w:rsid w:val="008060BF"/>
    <w:rsid w:val="008105AD"/>
    <w:rsid w:val="008146A1"/>
    <w:rsid w:val="00814950"/>
    <w:rsid w:val="00814CDF"/>
    <w:rsid w:val="00816131"/>
    <w:rsid w:val="0081713F"/>
    <w:rsid w:val="00817664"/>
    <w:rsid w:val="00821E7B"/>
    <w:rsid w:val="00824582"/>
    <w:rsid w:val="00825A2D"/>
    <w:rsid w:val="008260F8"/>
    <w:rsid w:val="008274B3"/>
    <w:rsid w:val="00827E26"/>
    <w:rsid w:val="00827E69"/>
    <w:rsid w:val="008326A7"/>
    <w:rsid w:val="0083645E"/>
    <w:rsid w:val="00840881"/>
    <w:rsid w:val="008409AC"/>
    <w:rsid w:val="00840B9B"/>
    <w:rsid w:val="00841BB8"/>
    <w:rsid w:val="008442D4"/>
    <w:rsid w:val="00844941"/>
    <w:rsid w:val="008469B2"/>
    <w:rsid w:val="00847480"/>
    <w:rsid w:val="00853540"/>
    <w:rsid w:val="00853601"/>
    <w:rsid w:val="008558FE"/>
    <w:rsid w:val="00857444"/>
    <w:rsid w:val="008627AE"/>
    <w:rsid w:val="0086289F"/>
    <w:rsid w:val="00862C2E"/>
    <w:rsid w:val="00866FD9"/>
    <w:rsid w:val="00867B5F"/>
    <w:rsid w:val="00870B6F"/>
    <w:rsid w:val="00873D19"/>
    <w:rsid w:val="008753C6"/>
    <w:rsid w:val="008760AA"/>
    <w:rsid w:val="0087626F"/>
    <w:rsid w:val="00876768"/>
    <w:rsid w:val="00881430"/>
    <w:rsid w:val="008818ED"/>
    <w:rsid w:val="0088566F"/>
    <w:rsid w:val="008876F3"/>
    <w:rsid w:val="00892715"/>
    <w:rsid w:val="0089766B"/>
    <w:rsid w:val="008A1229"/>
    <w:rsid w:val="008A5025"/>
    <w:rsid w:val="008A5C5B"/>
    <w:rsid w:val="008A6850"/>
    <w:rsid w:val="008B275C"/>
    <w:rsid w:val="008B5268"/>
    <w:rsid w:val="008B6A85"/>
    <w:rsid w:val="008B7A8B"/>
    <w:rsid w:val="008C0A3B"/>
    <w:rsid w:val="008C507D"/>
    <w:rsid w:val="008C527A"/>
    <w:rsid w:val="008C5E65"/>
    <w:rsid w:val="008C6335"/>
    <w:rsid w:val="008C6E18"/>
    <w:rsid w:val="008C752B"/>
    <w:rsid w:val="008D053D"/>
    <w:rsid w:val="008D0CE8"/>
    <w:rsid w:val="008D13FA"/>
    <w:rsid w:val="008D19C0"/>
    <w:rsid w:val="008D1D93"/>
    <w:rsid w:val="008D3274"/>
    <w:rsid w:val="008E009A"/>
    <w:rsid w:val="008E0C01"/>
    <w:rsid w:val="008E2268"/>
    <w:rsid w:val="008E4629"/>
    <w:rsid w:val="008E5AAE"/>
    <w:rsid w:val="008E74E5"/>
    <w:rsid w:val="008E7920"/>
    <w:rsid w:val="008F008A"/>
    <w:rsid w:val="008F0BFD"/>
    <w:rsid w:val="008F2762"/>
    <w:rsid w:val="008F420F"/>
    <w:rsid w:val="00901DD8"/>
    <w:rsid w:val="009045DE"/>
    <w:rsid w:val="0090722F"/>
    <w:rsid w:val="00911B07"/>
    <w:rsid w:val="0091512F"/>
    <w:rsid w:val="00915F01"/>
    <w:rsid w:val="00917155"/>
    <w:rsid w:val="0091732A"/>
    <w:rsid w:val="0092142E"/>
    <w:rsid w:val="009242D8"/>
    <w:rsid w:val="00926DDC"/>
    <w:rsid w:val="0092742E"/>
    <w:rsid w:val="009274A2"/>
    <w:rsid w:val="0092756E"/>
    <w:rsid w:val="00933FA9"/>
    <w:rsid w:val="00934B8D"/>
    <w:rsid w:val="0093549C"/>
    <w:rsid w:val="00935A75"/>
    <w:rsid w:val="00937E79"/>
    <w:rsid w:val="0095027B"/>
    <w:rsid w:val="0095233F"/>
    <w:rsid w:val="00956AAD"/>
    <w:rsid w:val="00956DC1"/>
    <w:rsid w:val="0096143D"/>
    <w:rsid w:val="009618B1"/>
    <w:rsid w:val="00962DF5"/>
    <w:rsid w:val="00963428"/>
    <w:rsid w:val="009649D1"/>
    <w:rsid w:val="00965F52"/>
    <w:rsid w:val="00966F15"/>
    <w:rsid w:val="00970DBE"/>
    <w:rsid w:val="00970E31"/>
    <w:rsid w:val="00971C62"/>
    <w:rsid w:val="00972C44"/>
    <w:rsid w:val="00973344"/>
    <w:rsid w:val="009738E5"/>
    <w:rsid w:val="00975796"/>
    <w:rsid w:val="00975CE7"/>
    <w:rsid w:val="00980C9C"/>
    <w:rsid w:val="009815A6"/>
    <w:rsid w:val="009845EA"/>
    <w:rsid w:val="00984E3A"/>
    <w:rsid w:val="00994638"/>
    <w:rsid w:val="0099502C"/>
    <w:rsid w:val="0099598D"/>
    <w:rsid w:val="009A00EC"/>
    <w:rsid w:val="009A0DC7"/>
    <w:rsid w:val="009A12CF"/>
    <w:rsid w:val="009A2E21"/>
    <w:rsid w:val="009A43D1"/>
    <w:rsid w:val="009A6EEA"/>
    <w:rsid w:val="009B424F"/>
    <w:rsid w:val="009B4E27"/>
    <w:rsid w:val="009B6031"/>
    <w:rsid w:val="009B6C6E"/>
    <w:rsid w:val="009C0A21"/>
    <w:rsid w:val="009C155E"/>
    <w:rsid w:val="009C3557"/>
    <w:rsid w:val="009C3B91"/>
    <w:rsid w:val="009C7347"/>
    <w:rsid w:val="009D29F0"/>
    <w:rsid w:val="009D486B"/>
    <w:rsid w:val="009E33BF"/>
    <w:rsid w:val="009E5AF8"/>
    <w:rsid w:val="009F1953"/>
    <w:rsid w:val="009F2AC5"/>
    <w:rsid w:val="009F32FD"/>
    <w:rsid w:val="009F788C"/>
    <w:rsid w:val="00A0368A"/>
    <w:rsid w:val="00A04558"/>
    <w:rsid w:val="00A05102"/>
    <w:rsid w:val="00A055C8"/>
    <w:rsid w:val="00A07B41"/>
    <w:rsid w:val="00A11250"/>
    <w:rsid w:val="00A11D2D"/>
    <w:rsid w:val="00A12875"/>
    <w:rsid w:val="00A131DD"/>
    <w:rsid w:val="00A13B4B"/>
    <w:rsid w:val="00A15C13"/>
    <w:rsid w:val="00A20202"/>
    <w:rsid w:val="00A230DA"/>
    <w:rsid w:val="00A23D43"/>
    <w:rsid w:val="00A25B07"/>
    <w:rsid w:val="00A30B21"/>
    <w:rsid w:val="00A33846"/>
    <w:rsid w:val="00A37486"/>
    <w:rsid w:val="00A40EE2"/>
    <w:rsid w:val="00A41275"/>
    <w:rsid w:val="00A44DA3"/>
    <w:rsid w:val="00A479D6"/>
    <w:rsid w:val="00A514B3"/>
    <w:rsid w:val="00A51806"/>
    <w:rsid w:val="00A53232"/>
    <w:rsid w:val="00A53FED"/>
    <w:rsid w:val="00A62720"/>
    <w:rsid w:val="00A6309B"/>
    <w:rsid w:val="00A666EE"/>
    <w:rsid w:val="00A66911"/>
    <w:rsid w:val="00A70298"/>
    <w:rsid w:val="00A73A41"/>
    <w:rsid w:val="00A77BF2"/>
    <w:rsid w:val="00A80405"/>
    <w:rsid w:val="00A82E5A"/>
    <w:rsid w:val="00A82F79"/>
    <w:rsid w:val="00A83792"/>
    <w:rsid w:val="00A840A7"/>
    <w:rsid w:val="00A84C1D"/>
    <w:rsid w:val="00A910D3"/>
    <w:rsid w:val="00A919D5"/>
    <w:rsid w:val="00AA1DB8"/>
    <w:rsid w:val="00AA3A97"/>
    <w:rsid w:val="00AA47D6"/>
    <w:rsid w:val="00AB09DC"/>
    <w:rsid w:val="00AB3121"/>
    <w:rsid w:val="00AB3730"/>
    <w:rsid w:val="00AB6C30"/>
    <w:rsid w:val="00AB7089"/>
    <w:rsid w:val="00AC030A"/>
    <w:rsid w:val="00AC3593"/>
    <w:rsid w:val="00AC4B8B"/>
    <w:rsid w:val="00AC56D2"/>
    <w:rsid w:val="00AD1558"/>
    <w:rsid w:val="00AD221E"/>
    <w:rsid w:val="00AD3B03"/>
    <w:rsid w:val="00AD723B"/>
    <w:rsid w:val="00AE14FF"/>
    <w:rsid w:val="00AE1724"/>
    <w:rsid w:val="00AE63B6"/>
    <w:rsid w:val="00AE7C38"/>
    <w:rsid w:val="00AF0132"/>
    <w:rsid w:val="00AF0F71"/>
    <w:rsid w:val="00AF39A4"/>
    <w:rsid w:val="00AF637E"/>
    <w:rsid w:val="00AF69C4"/>
    <w:rsid w:val="00B02EF6"/>
    <w:rsid w:val="00B02F57"/>
    <w:rsid w:val="00B033E5"/>
    <w:rsid w:val="00B04BE4"/>
    <w:rsid w:val="00B04FC6"/>
    <w:rsid w:val="00B05526"/>
    <w:rsid w:val="00B13C39"/>
    <w:rsid w:val="00B14CFC"/>
    <w:rsid w:val="00B1728C"/>
    <w:rsid w:val="00B21C4D"/>
    <w:rsid w:val="00B256F0"/>
    <w:rsid w:val="00B259EF"/>
    <w:rsid w:val="00B2721B"/>
    <w:rsid w:val="00B27794"/>
    <w:rsid w:val="00B27D0B"/>
    <w:rsid w:val="00B27E35"/>
    <w:rsid w:val="00B3091F"/>
    <w:rsid w:val="00B3587E"/>
    <w:rsid w:val="00B35D00"/>
    <w:rsid w:val="00B36CCA"/>
    <w:rsid w:val="00B36FDD"/>
    <w:rsid w:val="00B3739C"/>
    <w:rsid w:val="00B40D56"/>
    <w:rsid w:val="00B42298"/>
    <w:rsid w:val="00B43C58"/>
    <w:rsid w:val="00B44821"/>
    <w:rsid w:val="00B47220"/>
    <w:rsid w:val="00B532BA"/>
    <w:rsid w:val="00B56AC6"/>
    <w:rsid w:val="00B57F56"/>
    <w:rsid w:val="00B60BA3"/>
    <w:rsid w:val="00B71889"/>
    <w:rsid w:val="00B71982"/>
    <w:rsid w:val="00B72AA6"/>
    <w:rsid w:val="00B73500"/>
    <w:rsid w:val="00B73D15"/>
    <w:rsid w:val="00B76415"/>
    <w:rsid w:val="00B76BC6"/>
    <w:rsid w:val="00B83234"/>
    <w:rsid w:val="00B84635"/>
    <w:rsid w:val="00B91C98"/>
    <w:rsid w:val="00B94C0C"/>
    <w:rsid w:val="00B951EC"/>
    <w:rsid w:val="00B96305"/>
    <w:rsid w:val="00B976B9"/>
    <w:rsid w:val="00BA0809"/>
    <w:rsid w:val="00BA17C4"/>
    <w:rsid w:val="00BA231D"/>
    <w:rsid w:val="00BA2709"/>
    <w:rsid w:val="00BA32A5"/>
    <w:rsid w:val="00BA5C13"/>
    <w:rsid w:val="00BA6A56"/>
    <w:rsid w:val="00BA6E24"/>
    <w:rsid w:val="00BA705D"/>
    <w:rsid w:val="00BB231B"/>
    <w:rsid w:val="00BB255F"/>
    <w:rsid w:val="00BB2609"/>
    <w:rsid w:val="00BB292B"/>
    <w:rsid w:val="00BB39FF"/>
    <w:rsid w:val="00BB3C01"/>
    <w:rsid w:val="00BB56C4"/>
    <w:rsid w:val="00BC0E0E"/>
    <w:rsid w:val="00BC1DD3"/>
    <w:rsid w:val="00BC2A16"/>
    <w:rsid w:val="00BC3B02"/>
    <w:rsid w:val="00BC6E90"/>
    <w:rsid w:val="00BC7FD4"/>
    <w:rsid w:val="00BD01DF"/>
    <w:rsid w:val="00BD2509"/>
    <w:rsid w:val="00BD260A"/>
    <w:rsid w:val="00BD7916"/>
    <w:rsid w:val="00BE62CE"/>
    <w:rsid w:val="00BE6F27"/>
    <w:rsid w:val="00BE7373"/>
    <w:rsid w:val="00BE7C44"/>
    <w:rsid w:val="00BF36B6"/>
    <w:rsid w:val="00BF4514"/>
    <w:rsid w:val="00BF60E7"/>
    <w:rsid w:val="00C00652"/>
    <w:rsid w:val="00C00CAD"/>
    <w:rsid w:val="00C030B9"/>
    <w:rsid w:val="00C105DE"/>
    <w:rsid w:val="00C14952"/>
    <w:rsid w:val="00C150E9"/>
    <w:rsid w:val="00C164EC"/>
    <w:rsid w:val="00C17748"/>
    <w:rsid w:val="00C17EA7"/>
    <w:rsid w:val="00C20DF7"/>
    <w:rsid w:val="00C20F73"/>
    <w:rsid w:val="00C219F7"/>
    <w:rsid w:val="00C220CC"/>
    <w:rsid w:val="00C22A5D"/>
    <w:rsid w:val="00C23582"/>
    <w:rsid w:val="00C2383B"/>
    <w:rsid w:val="00C24FE2"/>
    <w:rsid w:val="00C2629F"/>
    <w:rsid w:val="00C305BE"/>
    <w:rsid w:val="00C31291"/>
    <w:rsid w:val="00C31B1B"/>
    <w:rsid w:val="00C34F6D"/>
    <w:rsid w:val="00C371D3"/>
    <w:rsid w:val="00C42CA0"/>
    <w:rsid w:val="00C516F6"/>
    <w:rsid w:val="00C52837"/>
    <w:rsid w:val="00C54EDF"/>
    <w:rsid w:val="00C562B1"/>
    <w:rsid w:val="00C57FAF"/>
    <w:rsid w:val="00C7019E"/>
    <w:rsid w:val="00C71192"/>
    <w:rsid w:val="00C7139D"/>
    <w:rsid w:val="00C73770"/>
    <w:rsid w:val="00C74DC2"/>
    <w:rsid w:val="00C778DF"/>
    <w:rsid w:val="00C82F89"/>
    <w:rsid w:val="00C86F6E"/>
    <w:rsid w:val="00CA039A"/>
    <w:rsid w:val="00CA19A6"/>
    <w:rsid w:val="00CA515C"/>
    <w:rsid w:val="00CA625B"/>
    <w:rsid w:val="00CA688C"/>
    <w:rsid w:val="00CB0F8C"/>
    <w:rsid w:val="00CB10DF"/>
    <w:rsid w:val="00CB6202"/>
    <w:rsid w:val="00CB6EF1"/>
    <w:rsid w:val="00CB7B37"/>
    <w:rsid w:val="00CD09D1"/>
    <w:rsid w:val="00CD0F3E"/>
    <w:rsid w:val="00CD2054"/>
    <w:rsid w:val="00CD2F4E"/>
    <w:rsid w:val="00CD553A"/>
    <w:rsid w:val="00CE1B4A"/>
    <w:rsid w:val="00CE5C7F"/>
    <w:rsid w:val="00CE6718"/>
    <w:rsid w:val="00D0103B"/>
    <w:rsid w:val="00D021A7"/>
    <w:rsid w:val="00D03DC3"/>
    <w:rsid w:val="00D0468C"/>
    <w:rsid w:val="00D06023"/>
    <w:rsid w:val="00D06413"/>
    <w:rsid w:val="00D0734E"/>
    <w:rsid w:val="00D0750A"/>
    <w:rsid w:val="00D102CD"/>
    <w:rsid w:val="00D10A9B"/>
    <w:rsid w:val="00D15758"/>
    <w:rsid w:val="00D17543"/>
    <w:rsid w:val="00D21558"/>
    <w:rsid w:val="00D25EFD"/>
    <w:rsid w:val="00D260EB"/>
    <w:rsid w:val="00D26571"/>
    <w:rsid w:val="00D37398"/>
    <w:rsid w:val="00D4167C"/>
    <w:rsid w:val="00D43253"/>
    <w:rsid w:val="00D43644"/>
    <w:rsid w:val="00D45697"/>
    <w:rsid w:val="00D461F8"/>
    <w:rsid w:val="00D476E9"/>
    <w:rsid w:val="00D516A9"/>
    <w:rsid w:val="00D53CFF"/>
    <w:rsid w:val="00D565D8"/>
    <w:rsid w:val="00D56D41"/>
    <w:rsid w:val="00D57B67"/>
    <w:rsid w:val="00D60EC9"/>
    <w:rsid w:val="00D63958"/>
    <w:rsid w:val="00D6690C"/>
    <w:rsid w:val="00D71EA1"/>
    <w:rsid w:val="00D72D39"/>
    <w:rsid w:val="00D745CA"/>
    <w:rsid w:val="00D751A5"/>
    <w:rsid w:val="00D75E20"/>
    <w:rsid w:val="00D76081"/>
    <w:rsid w:val="00D760F8"/>
    <w:rsid w:val="00D761A5"/>
    <w:rsid w:val="00D77D92"/>
    <w:rsid w:val="00D81DFB"/>
    <w:rsid w:val="00D83503"/>
    <w:rsid w:val="00D84E86"/>
    <w:rsid w:val="00D878A9"/>
    <w:rsid w:val="00D87EDE"/>
    <w:rsid w:val="00D90960"/>
    <w:rsid w:val="00D909E7"/>
    <w:rsid w:val="00D928C2"/>
    <w:rsid w:val="00D9701E"/>
    <w:rsid w:val="00D9793A"/>
    <w:rsid w:val="00DA12F9"/>
    <w:rsid w:val="00DA4F27"/>
    <w:rsid w:val="00DA64A1"/>
    <w:rsid w:val="00DA6883"/>
    <w:rsid w:val="00DB14FC"/>
    <w:rsid w:val="00DB3A5D"/>
    <w:rsid w:val="00DB66F1"/>
    <w:rsid w:val="00DC0921"/>
    <w:rsid w:val="00DD0E40"/>
    <w:rsid w:val="00DD1AD8"/>
    <w:rsid w:val="00DD3741"/>
    <w:rsid w:val="00DD3CC9"/>
    <w:rsid w:val="00DD767E"/>
    <w:rsid w:val="00DF02A0"/>
    <w:rsid w:val="00DF435E"/>
    <w:rsid w:val="00E047C0"/>
    <w:rsid w:val="00E0713D"/>
    <w:rsid w:val="00E16133"/>
    <w:rsid w:val="00E16ABD"/>
    <w:rsid w:val="00E21610"/>
    <w:rsid w:val="00E21826"/>
    <w:rsid w:val="00E21B24"/>
    <w:rsid w:val="00E2570F"/>
    <w:rsid w:val="00E26F80"/>
    <w:rsid w:val="00E3153C"/>
    <w:rsid w:val="00E318D4"/>
    <w:rsid w:val="00E3331F"/>
    <w:rsid w:val="00E34E2F"/>
    <w:rsid w:val="00E42019"/>
    <w:rsid w:val="00E43634"/>
    <w:rsid w:val="00E43AE7"/>
    <w:rsid w:val="00E440C4"/>
    <w:rsid w:val="00E445C8"/>
    <w:rsid w:val="00E45E2D"/>
    <w:rsid w:val="00E46A7F"/>
    <w:rsid w:val="00E544C8"/>
    <w:rsid w:val="00E557FE"/>
    <w:rsid w:val="00E56DF7"/>
    <w:rsid w:val="00E631AC"/>
    <w:rsid w:val="00E67996"/>
    <w:rsid w:val="00E714E7"/>
    <w:rsid w:val="00E722F0"/>
    <w:rsid w:val="00E756DF"/>
    <w:rsid w:val="00E75E58"/>
    <w:rsid w:val="00E77414"/>
    <w:rsid w:val="00E80367"/>
    <w:rsid w:val="00E8133C"/>
    <w:rsid w:val="00E83C61"/>
    <w:rsid w:val="00E83EBC"/>
    <w:rsid w:val="00E85316"/>
    <w:rsid w:val="00E853BA"/>
    <w:rsid w:val="00E86E6F"/>
    <w:rsid w:val="00E86FEC"/>
    <w:rsid w:val="00E87DBE"/>
    <w:rsid w:val="00E92335"/>
    <w:rsid w:val="00E92ECF"/>
    <w:rsid w:val="00EA039F"/>
    <w:rsid w:val="00EA0B69"/>
    <w:rsid w:val="00EA1EF9"/>
    <w:rsid w:val="00EA201B"/>
    <w:rsid w:val="00EA24D2"/>
    <w:rsid w:val="00EA31E7"/>
    <w:rsid w:val="00EA4182"/>
    <w:rsid w:val="00EA4344"/>
    <w:rsid w:val="00EB029D"/>
    <w:rsid w:val="00EB1333"/>
    <w:rsid w:val="00EB1D33"/>
    <w:rsid w:val="00EB262E"/>
    <w:rsid w:val="00EB3224"/>
    <w:rsid w:val="00EB4E39"/>
    <w:rsid w:val="00EB55BE"/>
    <w:rsid w:val="00EB5E3C"/>
    <w:rsid w:val="00EB75DC"/>
    <w:rsid w:val="00EC1201"/>
    <w:rsid w:val="00EC2BB8"/>
    <w:rsid w:val="00EC2E5A"/>
    <w:rsid w:val="00EC378C"/>
    <w:rsid w:val="00EC4F6B"/>
    <w:rsid w:val="00EC579B"/>
    <w:rsid w:val="00EC5869"/>
    <w:rsid w:val="00EC58E7"/>
    <w:rsid w:val="00ED28F1"/>
    <w:rsid w:val="00ED5B08"/>
    <w:rsid w:val="00ED6885"/>
    <w:rsid w:val="00ED7142"/>
    <w:rsid w:val="00ED7F67"/>
    <w:rsid w:val="00EE24BD"/>
    <w:rsid w:val="00EE59BA"/>
    <w:rsid w:val="00EF178F"/>
    <w:rsid w:val="00EF21DA"/>
    <w:rsid w:val="00EF450E"/>
    <w:rsid w:val="00EF4AC5"/>
    <w:rsid w:val="00EF7237"/>
    <w:rsid w:val="00EF7D2F"/>
    <w:rsid w:val="00F013E8"/>
    <w:rsid w:val="00F02AD3"/>
    <w:rsid w:val="00F03500"/>
    <w:rsid w:val="00F12F59"/>
    <w:rsid w:val="00F14E86"/>
    <w:rsid w:val="00F15074"/>
    <w:rsid w:val="00F15D43"/>
    <w:rsid w:val="00F25140"/>
    <w:rsid w:val="00F255A1"/>
    <w:rsid w:val="00F27804"/>
    <w:rsid w:val="00F303A1"/>
    <w:rsid w:val="00F3149E"/>
    <w:rsid w:val="00F31B2A"/>
    <w:rsid w:val="00F33154"/>
    <w:rsid w:val="00F3374C"/>
    <w:rsid w:val="00F36011"/>
    <w:rsid w:val="00F37C39"/>
    <w:rsid w:val="00F40C95"/>
    <w:rsid w:val="00F41AE5"/>
    <w:rsid w:val="00F4369C"/>
    <w:rsid w:val="00F50B8C"/>
    <w:rsid w:val="00F548B1"/>
    <w:rsid w:val="00F60E4F"/>
    <w:rsid w:val="00F63590"/>
    <w:rsid w:val="00F63B6B"/>
    <w:rsid w:val="00F67F08"/>
    <w:rsid w:val="00F71653"/>
    <w:rsid w:val="00F71D84"/>
    <w:rsid w:val="00F739C2"/>
    <w:rsid w:val="00F76383"/>
    <w:rsid w:val="00F8118F"/>
    <w:rsid w:val="00F819F7"/>
    <w:rsid w:val="00F821B3"/>
    <w:rsid w:val="00F84091"/>
    <w:rsid w:val="00F84BD5"/>
    <w:rsid w:val="00F86C27"/>
    <w:rsid w:val="00F91201"/>
    <w:rsid w:val="00F9154E"/>
    <w:rsid w:val="00F91FAE"/>
    <w:rsid w:val="00F9260F"/>
    <w:rsid w:val="00F92EDA"/>
    <w:rsid w:val="00F94FB2"/>
    <w:rsid w:val="00F95245"/>
    <w:rsid w:val="00F95B02"/>
    <w:rsid w:val="00F96E61"/>
    <w:rsid w:val="00FA4F38"/>
    <w:rsid w:val="00FB0ED2"/>
    <w:rsid w:val="00FB101D"/>
    <w:rsid w:val="00FB248C"/>
    <w:rsid w:val="00FB6D26"/>
    <w:rsid w:val="00FB6FEE"/>
    <w:rsid w:val="00FC03C7"/>
    <w:rsid w:val="00FC0899"/>
    <w:rsid w:val="00FC1EB1"/>
    <w:rsid w:val="00FC1FEA"/>
    <w:rsid w:val="00FC2C1C"/>
    <w:rsid w:val="00FC55DC"/>
    <w:rsid w:val="00FC68D4"/>
    <w:rsid w:val="00FC7218"/>
    <w:rsid w:val="00FD1EFB"/>
    <w:rsid w:val="00FD35CD"/>
    <w:rsid w:val="00FD4E6A"/>
    <w:rsid w:val="00FE1935"/>
    <w:rsid w:val="00FE27E3"/>
    <w:rsid w:val="00FE3B08"/>
    <w:rsid w:val="00FE5DF0"/>
    <w:rsid w:val="00FF217D"/>
    <w:rsid w:val="00FF34DF"/>
    <w:rsid w:val="00FF4227"/>
    <w:rsid w:val="00FF6C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A1C4"/>
  <w15:chartTrackingRefBased/>
  <w15:docId w15:val="{365495ED-938A-49D7-BB52-978E665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F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C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20D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C22A5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66C"/>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666C"/>
  </w:style>
  <w:style w:type="paragraph" w:styleId="Footer">
    <w:name w:val="footer"/>
    <w:basedOn w:val="Normal"/>
    <w:link w:val="FooterChar"/>
    <w:uiPriority w:val="99"/>
    <w:unhideWhenUsed/>
    <w:rsid w:val="0072666C"/>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666C"/>
  </w:style>
  <w:style w:type="paragraph" w:styleId="ListParagraph">
    <w:name w:val="List Paragraph"/>
    <w:basedOn w:val="Normal"/>
    <w:uiPriority w:val="34"/>
    <w:qFormat/>
    <w:rsid w:val="0072666C"/>
    <w:pPr>
      <w:ind w:left="720"/>
      <w:contextualSpacing/>
    </w:pPr>
  </w:style>
  <w:style w:type="paragraph" w:styleId="NormalWeb">
    <w:name w:val="Normal (Web)"/>
    <w:basedOn w:val="Normal"/>
    <w:uiPriority w:val="99"/>
    <w:semiHidden/>
    <w:unhideWhenUsed/>
    <w:rsid w:val="000902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ext3evx1j">
    <w:name w:val="text__text___3evx1j"/>
    <w:basedOn w:val="Normal"/>
    <w:rsid w:val="003B7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styledtext-sc-1jtxuc8-0">
    <w:name w:val="default__styledtext-sc-1jtxuc8-0"/>
    <w:basedOn w:val="Normal"/>
    <w:rsid w:val="00705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22A5D"/>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151F73"/>
    <w:rPr>
      <w:rFonts w:asciiTheme="majorHAnsi" w:eastAsiaTheme="majorEastAsia" w:hAnsiTheme="majorHAnsi" w:cstheme="majorBidi"/>
      <w:color w:val="2F5496" w:themeColor="accent1" w:themeShade="BF"/>
      <w:sz w:val="32"/>
      <w:szCs w:val="32"/>
    </w:rPr>
  </w:style>
  <w:style w:type="paragraph" w:customStyle="1" w:styleId="no-margin">
    <w:name w:val="no-margin"/>
    <w:basedOn w:val="Normal"/>
    <w:rsid w:val="005F5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D2C0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0D2C02"/>
    <w:rPr>
      <w:color w:val="0000FF"/>
      <w:u w:val="single"/>
    </w:rPr>
  </w:style>
  <w:style w:type="table" w:styleId="TableGrid">
    <w:name w:val="Table Grid"/>
    <w:basedOn w:val="TableNormal"/>
    <w:uiPriority w:val="39"/>
    <w:rsid w:val="0062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rsid w:val="00626E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629F"/>
    <w:rPr>
      <w:i/>
      <w:iCs/>
    </w:rPr>
  </w:style>
  <w:style w:type="table" w:styleId="TableGridLight">
    <w:name w:val="Grid Table Light"/>
    <w:basedOn w:val="TableNormal"/>
    <w:uiPriority w:val="40"/>
    <w:rsid w:val="00BC0E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C0E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0E0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0E0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E6F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9"/>
    <w:semiHidden/>
    <w:rsid w:val="00C20DF7"/>
    <w:rPr>
      <w:rFonts w:asciiTheme="majorHAnsi" w:eastAsiaTheme="majorEastAsia" w:hAnsiTheme="majorHAnsi" w:cstheme="majorBidi"/>
      <w:i/>
      <w:iCs/>
      <w:color w:val="2F5496" w:themeColor="accent1" w:themeShade="BF"/>
    </w:rPr>
  </w:style>
  <w:style w:type="table" w:styleId="GridTable1Light">
    <w:name w:val="Grid Table 1 Light"/>
    <w:basedOn w:val="TableNormal"/>
    <w:uiPriority w:val="46"/>
    <w:rsid w:val="00A036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04BE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5835">
      <w:bodyDiv w:val="1"/>
      <w:marLeft w:val="0"/>
      <w:marRight w:val="0"/>
      <w:marTop w:val="0"/>
      <w:marBottom w:val="0"/>
      <w:divBdr>
        <w:top w:val="none" w:sz="0" w:space="0" w:color="auto"/>
        <w:left w:val="none" w:sz="0" w:space="0" w:color="auto"/>
        <w:bottom w:val="none" w:sz="0" w:space="0" w:color="auto"/>
        <w:right w:val="none" w:sz="0" w:space="0" w:color="auto"/>
      </w:divBdr>
    </w:div>
    <w:div w:id="72747252">
      <w:bodyDiv w:val="1"/>
      <w:marLeft w:val="0"/>
      <w:marRight w:val="0"/>
      <w:marTop w:val="0"/>
      <w:marBottom w:val="0"/>
      <w:divBdr>
        <w:top w:val="none" w:sz="0" w:space="0" w:color="auto"/>
        <w:left w:val="none" w:sz="0" w:space="0" w:color="auto"/>
        <w:bottom w:val="none" w:sz="0" w:space="0" w:color="auto"/>
        <w:right w:val="none" w:sz="0" w:space="0" w:color="auto"/>
      </w:divBdr>
    </w:div>
    <w:div w:id="110516677">
      <w:bodyDiv w:val="1"/>
      <w:marLeft w:val="0"/>
      <w:marRight w:val="0"/>
      <w:marTop w:val="0"/>
      <w:marBottom w:val="0"/>
      <w:divBdr>
        <w:top w:val="none" w:sz="0" w:space="0" w:color="auto"/>
        <w:left w:val="none" w:sz="0" w:space="0" w:color="auto"/>
        <w:bottom w:val="none" w:sz="0" w:space="0" w:color="auto"/>
        <w:right w:val="none" w:sz="0" w:space="0" w:color="auto"/>
      </w:divBdr>
      <w:divsChild>
        <w:div w:id="1426069388">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sChild>
    </w:div>
    <w:div w:id="251276958">
      <w:bodyDiv w:val="1"/>
      <w:marLeft w:val="0"/>
      <w:marRight w:val="0"/>
      <w:marTop w:val="0"/>
      <w:marBottom w:val="0"/>
      <w:divBdr>
        <w:top w:val="none" w:sz="0" w:space="0" w:color="auto"/>
        <w:left w:val="none" w:sz="0" w:space="0" w:color="auto"/>
        <w:bottom w:val="none" w:sz="0" w:space="0" w:color="auto"/>
        <w:right w:val="none" w:sz="0" w:space="0" w:color="auto"/>
      </w:divBdr>
      <w:divsChild>
        <w:div w:id="1472748701">
          <w:marLeft w:val="0"/>
          <w:marRight w:val="0"/>
          <w:marTop w:val="0"/>
          <w:marBottom w:val="0"/>
          <w:divBdr>
            <w:top w:val="none" w:sz="0" w:space="0" w:color="auto"/>
            <w:left w:val="none" w:sz="0" w:space="0" w:color="auto"/>
            <w:bottom w:val="none" w:sz="0" w:space="0" w:color="auto"/>
            <w:right w:val="none" w:sz="0" w:space="0" w:color="auto"/>
          </w:divBdr>
          <w:divsChild>
            <w:div w:id="1333532157">
              <w:marLeft w:val="0"/>
              <w:marRight w:val="0"/>
              <w:marTop w:val="0"/>
              <w:marBottom w:val="0"/>
              <w:divBdr>
                <w:top w:val="single" w:sz="12" w:space="15" w:color="DCDCDC"/>
                <w:left w:val="none" w:sz="0" w:space="0" w:color="auto"/>
                <w:bottom w:val="none" w:sz="0" w:space="0" w:color="auto"/>
                <w:right w:val="none" w:sz="0" w:space="0" w:color="auto"/>
              </w:divBdr>
            </w:div>
            <w:div w:id="1356691276">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 w:id="251278929">
      <w:bodyDiv w:val="1"/>
      <w:marLeft w:val="0"/>
      <w:marRight w:val="0"/>
      <w:marTop w:val="0"/>
      <w:marBottom w:val="0"/>
      <w:divBdr>
        <w:top w:val="none" w:sz="0" w:space="0" w:color="auto"/>
        <w:left w:val="none" w:sz="0" w:space="0" w:color="auto"/>
        <w:bottom w:val="none" w:sz="0" w:space="0" w:color="auto"/>
        <w:right w:val="none" w:sz="0" w:space="0" w:color="auto"/>
      </w:divBdr>
    </w:div>
    <w:div w:id="257521347">
      <w:bodyDiv w:val="1"/>
      <w:marLeft w:val="0"/>
      <w:marRight w:val="0"/>
      <w:marTop w:val="0"/>
      <w:marBottom w:val="0"/>
      <w:divBdr>
        <w:top w:val="none" w:sz="0" w:space="0" w:color="auto"/>
        <w:left w:val="none" w:sz="0" w:space="0" w:color="auto"/>
        <w:bottom w:val="none" w:sz="0" w:space="0" w:color="auto"/>
        <w:right w:val="none" w:sz="0" w:space="0" w:color="auto"/>
      </w:divBdr>
    </w:div>
    <w:div w:id="278757189">
      <w:bodyDiv w:val="1"/>
      <w:marLeft w:val="0"/>
      <w:marRight w:val="0"/>
      <w:marTop w:val="0"/>
      <w:marBottom w:val="0"/>
      <w:divBdr>
        <w:top w:val="none" w:sz="0" w:space="0" w:color="auto"/>
        <w:left w:val="none" w:sz="0" w:space="0" w:color="auto"/>
        <w:bottom w:val="none" w:sz="0" w:space="0" w:color="auto"/>
        <w:right w:val="none" w:sz="0" w:space="0" w:color="auto"/>
      </w:divBdr>
    </w:div>
    <w:div w:id="284041503">
      <w:bodyDiv w:val="1"/>
      <w:marLeft w:val="0"/>
      <w:marRight w:val="0"/>
      <w:marTop w:val="0"/>
      <w:marBottom w:val="0"/>
      <w:divBdr>
        <w:top w:val="none" w:sz="0" w:space="0" w:color="auto"/>
        <w:left w:val="none" w:sz="0" w:space="0" w:color="auto"/>
        <w:bottom w:val="none" w:sz="0" w:space="0" w:color="auto"/>
        <w:right w:val="none" w:sz="0" w:space="0" w:color="auto"/>
      </w:divBdr>
    </w:div>
    <w:div w:id="290093766">
      <w:bodyDiv w:val="1"/>
      <w:marLeft w:val="0"/>
      <w:marRight w:val="0"/>
      <w:marTop w:val="0"/>
      <w:marBottom w:val="0"/>
      <w:divBdr>
        <w:top w:val="none" w:sz="0" w:space="0" w:color="auto"/>
        <w:left w:val="none" w:sz="0" w:space="0" w:color="auto"/>
        <w:bottom w:val="none" w:sz="0" w:space="0" w:color="auto"/>
        <w:right w:val="none" w:sz="0" w:space="0" w:color="auto"/>
      </w:divBdr>
    </w:div>
    <w:div w:id="464858928">
      <w:bodyDiv w:val="1"/>
      <w:marLeft w:val="0"/>
      <w:marRight w:val="0"/>
      <w:marTop w:val="0"/>
      <w:marBottom w:val="0"/>
      <w:divBdr>
        <w:top w:val="none" w:sz="0" w:space="0" w:color="auto"/>
        <w:left w:val="none" w:sz="0" w:space="0" w:color="auto"/>
        <w:bottom w:val="none" w:sz="0" w:space="0" w:color="auto"/>
        <w:right w:val="none" w:sz="0" w:space="0" w:color="auto"/>
      </w:divBdr>
    </w:div>
    <w:div w:id="508831661">
      <w:bodyDiv w:val="1"/>
      <w:marLeft w:val="0"/>
      <w:marRight w:val="0"/>
      <w:marTop w:val="0"/>
      <w:marBottom w:val="0"/>
      <w:divBdr>
        <w:top w:val="none" w:sz="0" w:space="0" w:color="auto"/>
        <w:left w:val="none" w:sz="0" w:space="0" w:color="auto"/>
        <w:bottom w:val="none" w:sz="0" w:space="0" w:color="auto"/>
        <w:right w:val="none" w:sz="0" w:space="0" w:color="auto"/>
      </w:divBdr>
    </w:div>
    <w:div w:id="521012440">
      <w:bodyDiv w:val="1"/>
      <w:marLeft w:val="0"/>
      <w:marRight w:val="0"/>
      <w:marTop w:val="0"/>
      <w:marBottom w:val="0"/>
      <w:divBdr>
        <w:top w:val="none" w:sz="0" w:space="0" w:color="auto"/>
        <w:left w:val="none" w:sz="0" w:space="0" w:color="auto"/>
        <w:bottom w:val="none" w:sz="0" w:space="0" w:color="auto"/>
        <w:right w:val="none" w:sz="0" w:space="0" w:color="auto"/>
      </w:divBdr>
      <w:divsChild>
        <w:div w:id="2019311034">
          <w:marLeft w:val="0"/>
          <w:marRight w:val="0"/>
          <w:marTop w:val="0"/>
          <w:marBottom w:val="0"/>
          <w:divBdr>
            <w:top w:val="none" w:sz="0" w:space="0" w:color="auto"/>
            <w:left w:val="none" w:sz="0" w:space="0" w:color="auto"/>
            <w:bottom w:val="none" w:sz="0" w:space="0" w:color="auto"/>
            <w:right w:val="none" w:sz="0" w:space="0" w:color="auto"/>
          </w:divBdr>
        </w:div>
        <w:div w:id="512451221">
          <w:marLeft w:val="0"/>
          <w:marRight w:val="0"/>
          <w:marTop w:val="0"/>
          <w:marBottom w:val="0"/>
          <w:divBdr>
            <w:top w:val="none" w:sz="0" w:space="0" w:color="auto"/>
            <w:left w:val="none" w:sz="0" w:space="0" w:color="auto"/>
            <w:bottom w:val="none" w:sz="0" w:space="0" w:color="auto"/>
            <w:right w:val="none" w:sz="0" w:space="0" w:color="auto"/>
          </w:divBdr>
        </w:div>
      </w:divsChild>
    </w:div>
    <w:div w:id="548542158">
      <w:bodyDiv w:val="1"/>
      <w:marLeft w:val="0"/>
      <w:marRight w:val="0"/>
      <w:marTop w:val="0"/>
      <w:marBottom w:val="0"/>
      <w:divBdr>
        <w:top w:val="none" w:sz="0" w:space="0" w:color="auto"/>
        <w:left w:val="none" w:sz="0" w:space="0" w:color="auto"/>
        <w:bottom w:val="none" w:sz="0" w:space="0" w:color="auto"/>
        <w:right w:val="none" w:sz="0" w:space="0" w:color="auto"/>
      </w:divBdr>
      <w:divsChild>
        <w:div w:id="861939345">
          <w:marLeft w:val="0"/>
          <w:marRight w:val="0"/>
          <w:marTop w:val="0"/>
          <w:marBottom w:val="0"/>
          <w:divBdr>
            <w:top w:val="none" w:sz="0" w:space="0" w:color="auto"/>
            <w:left w:val="none" w:sz="0" w:space="0" w:color="auto"/>
            <w:bottom w:val="none" w:sz="0" w:space="0" w:color="auto"/>
            <w:right w:val="none" w:sz="0" w:space="0" w:color="auto"/>
          </w:divBdr>
          <w:divsChild>
            <w:div w:id="1003823237">
              <w:marLeft w:val="0"/>
              <w:marRight w:val="0"/>
              <w:marTop w:val="0"/>
              <w:marBottom w:val="0"/>
              <w:divBdr>
                <w:top w:val="single" w:sz="12" w:space="15" w:color="DCDCDC"/>
                <w:left w:val="none" w:sz="0" w:space="0" w:color="auto"/>
                <w:bottom w:val="none" w:sz="0" w:space="0" w:color="auto"/>
                <w:right w:val="none" w:sz="0" w:space="0" w:color="auto"/>
              </w:divBdr>
            </w:div>
            <w:div w:id="1621108293">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 w:id="602227447">
      <w:bodyDiv w:val="1"/>
      <w:marLeft w:val="0"/>
      <w:marRight w:val="0"/>
      <w:marTop w:val="0"/>
      <w:marBottom w:val="0"/>
      <w:divBdr>
        <w:top w:val="none" w:sz="0" w:space="0" w:color="auto"/>
        <w:left w:val="none" w:sz="0" w:space="0" w:color="auto"/>
        <w:bottom w:val="none" w:sz="0" w:space="0" w:color="auto"/>
        <w:right w:val="none" w:sz="0" w:space="0" w:color="auto"/>
      </w:divBdr>
    </w:div>
    <w:div w:id="623586524">
      <w:bodyDiv w:val="1"/>
      <w:marLeft w:val="0"/>
      <w:marRight w:val="0"/>
      <w:marTop w:val="0"/>
      <w:marBottom w:val="0"/>
      <w:divBdr>
        <w:top w:val="none" w:sz="0" w:space="0" w:color="auto"/>
        <w:left w:val="none" w:sz="0" w:space="0" w:color="auto"/>
        <w:bottom w:val="none" w:sz="0" w:space="0" w:color="auto"/>
        <w:right w:val="none" w:sz="0" w:space="0" w:color="auto"/>
      </w:divBdr>
      <w:divsChild>
        <w:div w:id="593170091">
          <w:marLeft w:val="0"/>
          <w:marRight w:val="0"/>
          <w:marTop w:val="0"/>
          <w:marBottom w:val="0"/>
          <w:divBdr>
            <w:top w:val="none" w:sz="0" w:space="0" w:color="auto"/>
            <w:left w:val="none" w:sz="0" w:space="0" w:color="auto"/>
            <w:bottom w:val="none" w:sz="0" w:space="0" w:color="auto"/>
            <w:right w:val="none" w:sz="0" w:space="0" w:color="auto"/>
          </w:divBdr>
        </w:div>
        <w:div w:id="1355112038">
          <w:marLeft w:val="0"/>
          <w:marRight w:val="0"/>
          <w:marTop w:val="0"/>
          <w:marBottom w:val="0"/>
          <w:divBdr>
            <w:top w:val="none" w:sz="0" w:space="0" w:color="auto"/>
            <w:left w:val="none" w:sz="0" w:space="0" w:color="auto"/>
            <w:bottom w:val="none" w:sz="0" w:space="0" w:color="auto"/>
            <w:right w:val="none" w:sz="0" w:space="0" w:color="auto"/>
          </w:divBdr>
        </w:div>
      </w:divsChild>
    </w:div>
    <w:div w:id="629090550">
      <w:bodyDiv w:val="1"/>
      <w:marLeft w:val="0"/>
      <w:marRight w:val="0"/>
      <w:marTop w:val="0"/>
      <w:marBottom w:val="0"/>
      <w:divBdr>
        <w:top w:val="none" w:sz="0" w:space="0" w:color="auto"/>
        <w:left w:val="none" w:sz="0" w:space="0" w:color="auto"/>
        <w:bottom w:val="none" w:sz="0" w:space="0" w:color="auto"/>
        <w:right w:val="none" w:sz="0" w:space="0" w:color="auto"/>
      </w:divBdr>
    </w:div>
    <w:div w:id="656304455">
      <w:bodyDiv w:val="1"/>
      <w:marLeft w:val="0"/>
      <w:marRight w:val="0"/>
      <w:marTop w:val="0"/>
      <w:marBottom w:val="0"/>
      <w:divBdr>
        <w:top w:val="none" w:sz="0" w:space="0" w:color="auto"/>
        <w:left w:val="none" w:sz="0" w:space="0" w:color="auto"/>
        <w:bottom w:val="none" w:sz="0" w:space="0" w:color="auto"/>
        <w:right w:val="none" w:sz="0" w:space="0" w:color="auto"/>
      </w:divBdr>
    </w:div>
    <w:div w:id="677929427">
      <w:bodyDiv w:val="1"/>
      <w:marLeft w:val="0"/>
      <w:marRight w:val="0"/>
      <w:marTop w:val="0"/>
      <w:marBottom w:val="0"/>
      <w:divBdr>
        <w:top w:val="none" w:sz="0" w:space="0" w:color="auto"/>
        <w:left w:val="none" w:sz="0" w:space="0" w:color="auto"/>
        <w:bottom w:val="none" w:sz="0" w:space="0" w:color="auto"/>
        <w:right w:val="none" w:sz="0" w:space="0" w:color="auto"/>
      </w:divBdr>
      <w:divsChild>
        <w:div w:id="387077417">
          <w:marLeft w:val="0"/>
          <w:marRight w:val="0"/>
          <w:marTop w:val="0"/>
          <w:marBottom w:val="0"/>
          <w:divBdr>
            <w:top w:val="none" w:sz="0" w:space="0" w:color="auto"/>
            <w:left w:val="none" w:sz="0" w:space="0" w:color="auto"/>
            <w:bottom w:val="none" w:sz="0" w:space="0" w:color="auto"/>
            <w:right w:val="none" w:sz="0" w:space="0" w:color="auto"/>
          </w:divBdr>
        </w:div>
        <w:div w:id="588972220">
          <w:marLeft w:val="0"/>
          <w:marRight w:val="0"/>
          <w:marTop w:val="0"/>
          <w:marBottom w:val="0"/>
          <w:divBdr>
            <w:top w:val="none" w:sz="0" w:space="0" w:color="auto"/>
            <w:left w:val="none" w:sz="0" w:space="0" w:color="auto"/>
            <w:bottom w:val="none" w:sz="0" w:space="0" w:color="auto"/>
            <w:right w:val="none" w:sz="0" w:space="0" w:color="auto"/>
          </w:divBdr>
        </w:div>
      </w:divsChild>
    </w:div>
    <w:div w:id="679310178">
      <w:bodyDiv w:val="1"/>
      <w:marLeft w:val="0"/>
      <w:marRight w:val="0"/>
      <w:marTop w:val="0"/>
      <w:marBottom w:val="0"/>
      <w:divBdr>
        <w:top w:val="none" w:sz="0" w:space="0" w:color="auto"/>
        <w:left w:val="none" w:sz="0" w:space="0" w:color="auto"/>
        <w:bottom w:val="none" w:sz="0" w:space="0" w:color="auto"/>
        <w:right w:val="none" w:sz="0" w:space="0" w:color="auto"/>
      </w:divBdr>
    </w:div>
    <w:div w:id="730345004">
      <w:bodyDiv w:val="1"/>
      <w:marLeft w:val="0"/>
      <w:marRight w:val="0"/>
      <w:marTop w:val="0"/>
      <w:marBottom w:val="0"/>
      <w:divBdr>
        <w:top w:val="none" w:sz="0" w:space="0" w:color="auto"/>
        <w:left w:val="none" w:sz="0" w:space="0" w:color="auto"/>
        <w:bottom w:val="none" w:sz="0" w:space="0" w:color="auto"/>
        <w:right w:val="none" w:sz="0" w:space="0" w:color="auto"/>
      </w:divBdr>
    </w:div>
    <w:div w:id="766116885">
      <w:bodyDiv w:val="1"/>
      <w:marLeft w:val="0"/>
      <w:marRight w:val="0"/>
      <w:marTop w:val="0"/>
      <w:marBottom w:val="0"/>
      <w:divBdr>
        <w:top w:val="none" w:sz="0" w:space="0" w:color="auto"/>
        <w:left w:val="none" w:sz="0" w:space="0" w:color="auto"/>
        <w:bottom w:val="none" w:sz="0" w:space="0" w:color="auto"/>
        <w:right w:val="none" w:sz="0" w:space="0" w:color="auto"/>
      </w:divBdr>
    </w:div>
    <w:div w:id="800004156">
      <w:bodyDiv w:val="1"/>
      <w:marLeft w:val="0"/>
      <w:marRight w:val="0"/>
      <w:marTop w:val="0"/>
      <w:marBottom w:val="0"/>
      <w:divBdr>
        <w:top w:val="none" w:sz="0" w:space="0" w:color="auto"/>
        <w:left w:val="none" w:sz="0" w:space="0" w:color="auto"/>
        <w:bottom w:val="none" w:sz="0" w:space="0" w:color="auto"/>
        <w:right w:val="none" w:sz="0" w:space="0" w:color="auto"/>
      </w:divBdr>
    </w:div>
    <w:div w:id="824201159">
      <w:bodyDiv w:val="1"/>
      <w:marLeft w:val="0"/>
      <w:marRight w:val="0"/>
      <w:marTop w:val="0"/>
      <w:marBottom w:val="0"/>
      <w:divBdr>
        <w:top w:val="none" w:sz="0" w:space="0" w:color="auto"/>
        <w:left w:val="none" w:sz="0" w:space="0" w:color="auto"/>
        <w:bottom w:val="none" w:sz="0" w:space="0" w:color="auto"/>
        <w:right w:val="none" w:sz="0" w:space="0" w:color="auto"/>
      </w:divBdr>
      <w:divsChild>
        <w:div w:id="253363958">
          <w:marLeft w:val="0"/>
          <w:marRight w:val="0"/>
          <w:marTop w:val="0"/>
          <w:marBottom w:val="0"/>
          <w:divBdr>
            <w:top w:val="none" w:sz="0" w:space="0" w:color="auto"/>
            <w:left w:val="none" w:sz="0" w:space="0" w:color="auto"/>
            <w:bottom w:val="none" w:sz="0" w:space="0" w:color="auto"/>
            <w:right w:val="none" w:sz="0" w:space="0" w:color="auto"/>
          </w:divBdr>
        </w:div>
        <w:div w:id="240869384">
          <w:marLeft w:val="0"/>
          <w:marRight w:val="0"/>
          <w:marTop w:val="0"/>
          <w:marBottom w:val="0"/>
          <w:divBdr>
            <w:top w:val="none" w:sz="0" w:space="0" w:color="auto"/>
            <w:left w:val="none" w:sz="0" w:space="0" w:color="auto"/>
            <w:bottom w:val="none" w:sz="0" w:space="0" w:color="auto"/>
            <w:right w:val="none" w:sz="0" w:space="0" w:color="auto"/>
          </w:divBdr>
        </w:div>
      </w:divsChild>
    </w:div>
    <w:div w:id="870341393">
      <w:bodyDiv w:val="1"/>
      <w:marLeft w:val="0"/>
      <w:marRight w:val="0"/>
      <w:marTop w:val="0"/>
      <w:marBottom w:val="0"/>
      <w:divBdr>
        <w:top w:val="none" w:sz="0" w:space="0" w:color="auto"/>
        <w:left w:val="none" w:sz="0" w:space="0" w:color="auto"/>
        <w:bottom w:val="none" w:sz="0" w:space="0" w:color="auto"/>
        <w:right w:val="none" w:sz="0" w:space="0" w:color="auto"/>
      </w:divBdr>
    </w:div>
    <w:div w:id="896165225">
      <w:bodyDiv w:val="1"/>
      <w:marLeft w:val="0"/>
      <w:marRight w:val="0"/>
      <w:marTop w:val="0"/>
      <w:marBottom w:val="0"/>
      <w:divBdr>
        <w:top w:val="none" w:sz="0" w:space="0" w:color="auto"/>
        <w:left w:val="none" w:sz="0" w:space="0" w:color="auto"/>
        <w:bottom w:val="none" w:sz="0" w:space="0" w:color="auto"/>
        <w:right w:val="none" w:sz="0" w:space="0" w:color="auto"/>
      </w:divBdr>
    </w:div>
    <w:div w:id="915481080">
      <w:bodyDiv w:val="1"/>
      <w:marLeft w:val="0"/>
      <w:marRight w:val="0"/>
      <w:marTop w:val="0"/>
      <w:marBottom w:val="0"/>
      <w:divBdr>
        <w:top w:val="none" w:sz="0" w:space="0" w:color="auto"/>
        <w:left w:val="none" w:sz="0" w:space="0" w:color="auto"/>
        <w:bottom w:val="none" w:sz="0" w:space="0" w:color="auto"/>
        <w:right w:val="none" w:sz="0" w:space="0" w:color="auto"/>
      </w:divBdr>
      <w:divsChild>
        <w:div w:id="1114054488">
          <w:marLeft w:val="0"/>
          <w:marRight w:val="0"/>
          <w:marTop w:val="0"/>
          <w:marBottom w:val="0"/>
          <w:divBdr>
            <w:top w:val="none" w:sz="0" w:space="0" w:color="auto"/>
            <w:left w:val="none" w:sz="0" w:space="0" w:color="auto"/>
            <w:bottom w:val="none" w:sz="0" w:space="0" w:color="auto"/>
            <w:right w:val="none" w:sz="0" w:space="0" w:color="auto"/>
          </w:divBdr>
        </w:div>
        <w:div w:id="2065250496">
          <w:marLeft w:val="0"/>
          <w:marRight w:val="0"/>
          <w:marTop w:val="0"/>
          <w:marBottom w:val="0"/>
          <w:divBdr>
            <w:top w:val="none" w:sz="0" w:space="0" w:color="auto"/>
            <w:left w:val="none" w:sz="0" w:space="0" w:color="auto"/>
            <w:bottom w:val="none" w:sz="0" w:space="0" w:color="auto"/>
            <w:right w:val="none" w:sz="0" w:space="0" w:color="auto"/>
          </w:divBdr>
        </w:div>
      </w:divsChild>
    </w:div>
    <w:div w:id="918253153">
      <w:bodyDiv w:val="1"/>
      <w:marLeft w:val="0"/>
      <w:marRight w:val="0"/>
      <w:marTop w:val="0"/>
      <w:marBottom w:val="0"/>
      <w:divBdr>
        <w:top w:val="none" w:sz="0" w:space="0" w:color="auto"/>
        <w:left w:val="none" w:sz="0" w:space="0" w:color="auto"/>
        <w:bottom w:val="none" w:sz="0" w:space="0" w:color="auto"/>
        <w:right w:val="none" w:sz="0" w:space="0" w:color="auto"/>
      </w:divBdr>
    </w:div>
    <w:div w:id="935403893">
      <w:bodyDiv w:val="1"/>
      <w:marLeft w:val="0"/>
      <w:marRight w:val="0"/>
      <w:marTop w:val="0"/>
      <w:marBottom w:val="0"/>
      <w:divBdr>
        <w:top w:val="none" w:sz="0" w:space="0" w:color="auto"/>
        <w:left w:val="none" w:sz="0" w:space="0" w:color="auto"/>
        <w:bottom w:val="none" w:sz="0" w:space="0" w:color="auto"/>
        <w:right w:val="none" w:sz="0" w:space="0" w:color="auto"/>
      </w:divBdr>
    </w:div>
    <w:div w:id="952591040">
      <w:bodyDiv w:val="1"/>
      <w:marLeft w:val="0"/>
      <w:marRight w:val="0"/>
      <w:marTop w:val="0"/>
      <w:marBottom w:val="0"/>
      <w:divBdr>
        <w:top w:val="none" w:sz="0" w:space="0" w:color="auto"/>
        <w:left w:val="none" w:sz="0" w:space="0" w:color="auto"/>
        <w:bottom w:val="none" w:sz="0" w:space="0" w:color="auto"/>
        <w:right w:val="none" w:sz="0" w:space="0" w:color="auto"/>
      </w:divBdr>
    </w:div>
    <w:div w:id="1034498471">
      <w:bodyDiv w:val="1"/>
      <w:marLeft w:val="0"/>
      <w:marRight w:val="0"/>
      <w:marTop w:val="0"/>
      <w:marBottom w:val="0"/>
      <w:divBdr>
        <w:top w:val="none" w:sz="0" w:space="0" w:color="auto"/>
        <w:left w:val="none" w:sz="0" w:space="0" w:color="auto"/>
        <w:bottom w:val="none" w:sz="0" w:space="0" w:color="auto"/>
        <w:right w:val="none" w:sz="0" w:space="0" w:color="auto"/>
      </w:divBdr>
      <w:divsChild>
        <w:div w:id="206338285">
          <w:marLeft w:val="0"/>
          <w:marRight w:val="0"/>
          <w:marTop w:val="0"/>
          <w:marBottom w:val="0"/>
          <w:divBdr>
            <w:top w:val="none" w:sz="0" w:space="0" w:color="auto"/>
            <w:left w:val="none" w:sz="0" w:space="0" w:color="auto"/>
            <w:bottom w:val="none" w:sz="0" w:space="0" w:color="auto"/>
            <w:right w:val="none" w:sz="0" w:space="0" w:color="auto"/>
          </w:divBdr>
          <w:divsChild>
            <w:div w:id="1125463637">
              <w:marLeft w:val="0"/>
              <w:marRight w:val="0"/>
              <w:marTop w:val="0"/>
              <w:marBottom w:val="0"/>
              <w:divBdr>
                <w:top w:val="single" w:sz="12" w:space="15" w:color="DCDCDC"/>
                <w:left w:val="none" w:sz="0" w:space="0" w:color="auto"/>
                <w:bottom w:val="none" w:sz="0" w:space="0" w:color="auto"/>
                <w:right w:val="none" w:sz="0" w:space="0" w:color="auto"/>
              </w:divBdr>
            </w:div>
            <w:div w:id="2146967521">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 w:id="1057894834">
      <w:bodyDiv w:val="1"/>
      <w:marLeft w:val="0"/>
      <w:marRight w:val="0"/>
      <w:marTop w:val="0"/>
      <w:marBottom w:val="0"/>
      <w:divBdr>
        <w:top w:val="none" w:sz="0" w:space="0" w:color="auto"/>
        <w:left w:val="none" w:sz="0" w:space="0" w:color="auto"/>
        <w:bottom w:val="none" w:sz="0" w:space="0" w:color="auto"/>
        <w:right w:val="none" w:sz="0" w:space="0" w:color="auto"/>
      </w:divBdr>
    </w:div>
    <w:div w:id="1068042218">
      <w:bodyDiv w:val="1"/>
      <w:marLeft w:val="0"/>
      <w:marRight w:val="0"/>
      <w:marTop w:val="0"/>
      <w:marBottom w:val="0"/>
      <w:divBdr>
        <w:top w:val="none" w:sz="0" w:space="0" w:color="auto"/>
        <w:left w:val="none" w:sz="0" w:space="0" w:color="auto"/>
        <w:bottom w:val="none" w:sz="0" w:space="0" w:color="auto"/>
        <w:right w:val="none" w:sz="0" w:space="0" w:color="auto"/>
      </w:divBdr>
    </w:div>
    <w:div w:id="1070691932">
      <w:bodyDiv w:val="1"/>
      <w:marLeft w:val="0"/>
      <w:marRight w:val="0"/>
      <w:marTop w:val="0"/>
      <w:marBottom w:val="0"/>
      <w:divBdr>
        <w:top w:val="none" w:sz="0" w:space="0" w:color="auto"/>
        <w:left w:val="none" w:sz="0" w:space="0" w:color="auto"/>
        <w:bottom w:val="none" w:sz="0" w:space="0" w:color="auto"/>
        <w:right w:val="none" w:sz="0" w:space="0" w:color="auto"/>
      </w:divBdr>
    </w:div>
    <w:div w:id="1078750467">
      <w:bodyDiv w:val="1"/>
      <w:marLeft w:val="0"/>
      <w:marRight w:val="0"/>
      <w:marTop w:val="0"/>
      <w:marBottom w:val="0"/>
      <w:divBdr>
        <w:top w:val="none" w:sz="0" w:space="0" w:color="auto"/>
        <w:left w:val="none" w:sz="0" w:space="0" w:color="auto"/>
        <w:bottom w:val="none" w:sz="0" w:space="0" w:color="auto"/>
        <w:right w:val="none" w:sz="0" w:space="0" w:color="auto"/>
      </w:divBdr>
      <w:divsChild>
        <w:div w:id="1700201572">
          <w:marLeft w:val="0"/>
          <w:marRight w:val="0"/>
          <w:marTop w:val="0"/>
          <w:marBottom w:val="0"/>
          <w:divBdr>
            <w:top w:val="none" w:sz="0" w:space="0" w:color="auto"/>
            <w:left w:val="none" w:sz="0" w:space="0" w:color="auto"/>
            <w:bottom w:val="none" w:sz="0" w:space="0" w:color="auto"/>
            <w:right w:val="none" w:sz="0" w:space="0" w:color="auto"/>
          </w:divBdr>
        </w:div>
        <w:div w:id="2062552143">
          <w:marLeft w:val="0"/>
          <w:marRight w:val="0"/>
          <w:marTop w:val="0"/>
          <w:marBottom w:val="0"/>
          <w:divBdr>
            <w:top w:val="none" w:sz="0" w:space="0" w:color="auto"/>
            <w:left w:val="none" w:sz="0" w:space="0" w:color="auto"/>
            <w:bottom w:val="none" w:sz="0" w:space="0" w:color="auto"/>
            <w:right w:val="none" w:sz="0" w:space="0" w:color="auto"/>
          </w:divBdr>
        </w:div>
      </w:divsChild>
    </w:div>
    <w:div w:id="1139029446">
      <w:bodyDiv w:val="1"/>
      <w:marLeft w:val="0"/>
      <w:marRight w:val="0"/>
      <w:marTop w:val="0"/>
      <w:marBottom w:val="0"/>
      <w:divBdr>
        <w:top w:val="none" w:sz="0" w:space="0" w:color="auto"/>
        <w:left w:val="none" w:sz="0" w:space="0" w:color="auto"/>
        <w:bottom w:val="none" w:sz="0" w:space="0" w:color="auto"/>
        <w:right w:val="none" w:sz="0" w:space="0" w:color="auto"/>
      </w:divBdr>
      <w:divsChild>
        <w:div w:id="2039505278">
          <w:marLeft w:val="0"/>
          <w:marRight w:val="0"/>
          <w:marTop w:val="0"/>
          <w:marBottom w:val="0"/>
          <w:divBdr>
            <w:top w:val="none" w:sz="0" w:space="0" w:color="auto"/>
            <w:left w:val="none" w:sz="0" w:space="0" w:color="auto"/>
            <w:bottom w:val="none" w:sz="0" w:space="0" w:color="auto"/>
            <w:right w:val="none" w:sz="0" w:space="0" w:color="auto"/>
          </w:divBdr>
        </w:div>
        <w:div w:id="884685163">
          <w:marLeft w:val="0"/>
          <w:marRight w:val="0"/>
          <w:marTop w:val="0"/>
          <w:marBottom w:val="0"/>
          <w:divBdr>
            <w:top w:val="none" w:sz="0" w:space="0" w:color="auto"/>
            <w:left w:val="none" w:sz="0" w:space="0" w:color="auto"/>
            <w:bottom w:val="none" w:sz="0" w:space="0" w:color="auto"/>
            <w:right w:val="none" w:sz="0" w:space="0" w:color="auto"/>
          </w:divBdr>
        </w:div>
      </w:divsChild>
    </w:div>
    <w:div w:id="1141926688">
      <w:bodyDiv w:val="1"/>
      <w:marLeft w:val="0"/>
      <w:marRight w:val="0"/>
      <w:marTop w:val="0"/>
      <w:marBottom w:val="0"/>
      <w:divBdr>
        <w:top w:val="none" w:sz="0" w:space="0" w:color="auto"/>
        <w:left w:val="none" w:sz="0" w:space="0" w:color="auto"/>
        <w:bottom w:val="none" w:sz="0" w:space="0" w:color="auto"/>
        <w:right w:val="none" w:sz="0" w:space="0" w:color="auto"/>
      </w:divBdr>
    </w:div>
    <w:div w:id="1200241800">
      <w:bodyDiv w:val="1"/>
      <w:marLeft w:val="0"/>
      <w:marRight w:val="0"/>
      <w:marTop w:val="0"/>
      <w:marBottom w:val="0"/>
      <w:divBdr>
        <w:top w:val="none" w:sz="0" w:space="0" w:color="auto"/>
        <w:left w:val="none" w:sz="0" w:space="0" w:color="auto"/>
        <w:bottom w:val="none" w:sz="0" w:space="0" w:color="auto"/>
        <w:right w:val="none" w:sz="0" w:space="0" w:color="auto"/>
      </w:divBdr>
    </w:div>
    <w:div w:id="1224295635">
      <w:bodyDiv w:val="1"/>
      <w:marLeft w:val="0"/>
      <w:marRight w:val="0"/>
      <w:marTop w:val="0"/>
      <w:marBottom w:val="0"/>
      <w:divBdr>
        <w:top w:val="none" w:sz="0" w:space="0" w:color="auto"/>
        <w:left w:val="none" w:sz="0" w:space="0" w:color="auto"/>
        <w:bottom w:val="none" w:sz="0" w:space="0" w:color="auto"/>
        <w:right w:val="none" w:sz="0" w:space="0" w:color="auto"/>
      </w:divBdr>
    </w:div>
    <w:div w:id="1294942047">
      <w:bodyDiv w:val="1"/>
      <w:marLeft w:val="0"/>
      <w:marRight w:val="0"/>
      <w:marTop w:val="0"/>
      <w:marBottom w:val="0"/>
      <w:divBdr>
        <w:top w:val="none" w:sz="0" w:space="0" w:color="auto"/>
        <w:left w:val="none" w:sz="0" w:space="0" w:color="auto"/>
        <w:bottom w:val="none" w:sz="0" w:space="0" w:color="auto"/>
        <w:right w:val="none" w:sz="0" w:space="0" w:color="auto"/>
      </w:divBdr>
    </w:div>
    <w:div w:id="1315646843">
      <w:bodyDiv w:val="1"/>
      <w:marLeft w:val="0"/>
      <w:marRight w:val="0"/>
      <w:marTop w:val="0"/>
      <w:marBottom w:val="0"/>
      <w:divBdr>
        <w:top w:val="none" w:sz="0" w:space="0" w:color="auto"/>
        <w:left w:val="none" w:sz="0" w:space="0" w:color="auto"/>
        <w:bottom w:val="none" w:sz="0" w:space="0" w:color="auto"/>
        <w:right w:val="none" w:sz="0" w:space="0" w:color="auto"/>
      </w:divBdr>
      <w:divsChild>
        <w:div w:id="574509809">
          <w:marLeft w:val="0"/>
          <w:marRight w:val="0"/>
          <w:marTop w:val="0"/>
          <w:marBottom w:val="0"/>
          <w:divBdr>
            <w:top w:val="none" w:sz="0" w:space="0" w:color="auto"/>
            <w:left w:val="none" w:sz="0" w:space="0" w:color="auto"/>
            <w:bottom w:val="none" w:sz="0" w:space="0" w:color="auto"/>
            <w:right w:val="none" w:sz="0" w:space="0" w:color="auto"/>
          </w:divBdr>
        </w:div>
        <w:div w:id="252906262">
          <w:marLeft w:val="0"/>
          <w:marRight w:val="0"/>
          <w:marTop w:val="0"/>
          <w:marBottom w:val="0"/>
          <w:divBdr>
            <w:top w:val="none" w:sz="0" w:space="0" w:color="auto"/>
            <w:left w:val="none" w:sz="0" w:space="0" w:color="auto"/>
            <w:bottom w:val="none" w:sz="0" w:space="0" w:color="auto"/>
            <w:right w:val="none" w:sz="0" w:space="0" w:color="auto"/>
          </w:divBdr>
        </w:div>
      </w:divsChild>
    </w:div>
    <w:div w:id="1324118705">
      <w:bodyDiv w:val="1"/>
      <w:marLeft w:val="0"/>
      <w:marRight w:val="0"/>
      <w:marTop w:val="0"/>
      <w:marBottom w:val="0"/>
      <w:divBdr>
        <w:top w:val="none" w:sz="0" w:space="0" w:color="auto"/>
        <w:left w:val="none" w:sz="0" w:space="0" w:color="auto"/>
        <w:bottom w:val="none" w:sz="0" w:space="0" w:color="auto"/>
        <w:right w:val="none" w:sz="0" w:space="0" w:color="auto"/>
      </w:divBdr>
    </w:div>
    <w:div w:id="1345084619">
      <w:bodyDiv w:val="1"/>
      <w:marLeft w:val="0"/>
      <w:marRight w:val="0"/>
      <w:marTop w:val="0"/>
      <w:marBottom w:val="0"/>
      <w:divBdr>
        <w:top w:val="none" w:sz="0" w:space="0" w:color="auto"/>
        <w:left w:val="none" w:sz="0" w:space="0" w:color="auto"/>
        <w:bottom w:val="none" w:sz="0" w:space="0" w:color="auto"/>
        <w:right w:val="none" w:sz="0" w:space="0" w:color="auto"/>
      </w:divBdr>
    </w:div>
    <w:div w:id="1379360551">
      <w:bodyDiv w:val="1"/>
      <w:marLeft w:val="0"/>
      <w:marRight w:val="0"/>
      <w:marTop w:val="0"/>
      <w:marBottom w:val="0"/>
      <w:divBdr>
        <w:top w:val="none" w:sz="0" w:space="0" w:color="auto"/>
        <w:left w:val="none" w:sz="0" w:space="0" w:color="auto"/>
        <w:bottom w:val="none" w:sz="0" w:space="0" w:color="auto"/>
        <w:right w:val="none" w:sz="0" w:space="0" w:color="auto"/>
      </w:divBdr>
    </w:div>
    <w:div w:id="1379476638">
      <w:bodyDiv w:val="1"/>
      <w:marLeft w:val="0"/>
      <w:marRight w:val="0"/>
      <w:marTop w:val="0"/>
      <w:marBottom w:val="0"/>
      <w:divBdr>
        <w:top w:val="none" w:sz="0" w:space="0" w:color="auto"/>
        <w:left w:val="none" w:sz="0" w:space="0" w:color="auto"/>
        <w:bottom w:val="none" w:sz="0" w:space="0" w:color="auto"/>
        <w:right w:val="none" w:sz="0" w:space="0" w:color="auto"/>
      </w:divBdr>
    </w:div>
    <w:div w:id="1420252702">
      <w:bodyDiv w:val="1"/>
      <w:marLeft w:val="0"/>
      <w:marRight w:val="0"/>
      <w:marTop w:val="0"/>
      <w:marBottom w:val="0"/>
      <w:divBdr>
        <w:top w:val="none" w:sz="0" w:space="0" w:color="auto"/>
        <w:left w:val="none" w:sz="0" w:space="0" w:color="auto"/>
        <w:bottom w:val="none" w:sz="0" w:space="0" w:color="auto"/>
        <w:right w:val="none" w:sz="0" w:space="0" w:color="auto"/>
      </w:divBdr>
    </w:div>
    <w:div w:id="1495757679">
      <w:bodyDiv w:val="1"/>
      <w:marLeft w:val="0"/>
      <w:marRight w:val="0"/>
      <w:marTop w:val="0"/>
      <w:marBottom w:val="0"/>
      <w:divBdr>
        <w:top w:val="none" w:sz="0" w:space="0" w:color="auto"/>
        <w:left w:val="none" w:sz="0" w:space="0" w:color="auto"/>
        <w:bottom w:val="none" w:sz="0" w:space="0" w:color="auto"/>
        <w:right w:val="none" w:sz="0" w:space="0" w:color="auto"/>
      </w:divBdr>
    </w:div>
    <w:div w:id="1512140223">
      <w:bodyDiv w:val="1"/>
      <w:marLeft w:val="0"/>
      <w:marRight w:val="0"/>
      <w:marTop w:val="0"/>
      <w:marBottom w:val="0"/>
      <w:divBdr>
        <w:top w:val="none" w:sz="0" w:space="0" w:color="auto"/>
        <w:left w:val="none" w:sz="0" w:space="0" w:color="auto"/>
        <w:bottom w:val="none" w:sz="0" w:space="0" w:color="auto"/>
        <w:right w:val="none" w:sz="0" w:space="0" w:color="auto"/>
      </w:divBdr>
    </w:div>
    <w:div w:id="1610744790">
      <w:bodyDiv w:val="1"/>
      <w:marLeft w:val="0"/>
      <w:marRight w:val="0"/>
      <w:marTop w:val="0"/>
      <w:marBottom w:val="0"/>
      <w:divBdr>
        <w:top w:val="none" w:sz="0" w:space="0" w:color="auto"/>
        <w:left w:val="none" w:sz="0" w:space="0" w:color="auto"/>
        <w:bottom w:val="none" w:sz="0" w:space="0" w:color="auto"/>
        <w:right w:val="none" w:sz="0" w:space="0" w:color="auto"/>
      </w:divBdr>
    </w:div>
    <w:div w:id="1659456389">
      <w:bodyDiv w:val="1"/>
      <w:marLeft w:val="0"/>
      <w:marRight w:val="0"/>
      <w:marTop w:val="0"/>
      <w:marBottom w:val="0"/>
      <w:divBdr>
        <w:top w:val="none" w:sz="0" w:space="0" w:color="auto"/>
        <w:left w:val="none" w:sz="0" w:space="0" w:color="auto"/>
        <w:bottom w:val="none" w:sz="0" w:space="0" w:color="auto"/>
        <w:right w:val="none" w:sz="0" w:space="0" w:color="auto"/>
      </w:divBdr>
      <w:divsChild>
        <w:div w:id="394166140">
          <w:marLeft w:val="0"/>
          <w:marRight w:val="0"/>
          <w:marTop w:val="0"/>
          <w:marBottom w:val="0"/>
          <w:divBdr>
            <w:top w:val="none" w:sz="0" w:space="0" w:color="auto"/>
            <w:left w:val="none" w:sz="0" w:space="0" w:color="auto"/>
            <w:bottom w:val="none" w:sz="0" w:space="0" w:color="auto"/>
            <w:right w:val="none" w:sz="0" w:space="0" w:color="auto"/>
          </w:divBdr>
        </w:div>
        <w:div w:id="1788235077">
          <w:marLeft w:val="0"/>
          <w:marRight w:val="0"/>
          <w:marTop w:val="0"/>
          <w:marBottom w:val="0"/>
          <w:divBdr>
            <w:top w:val="none" w:sz="0" w:space="0" w:color="auto"/>
            <w:left w:val="none" w:sz="0" w:space="0" w:color="auto"/>
            <w:bottom w:val="none" w:sz="0" w:space="0" w:color="auto"/>
            <w:right w:val="none" w:sz="0" w:space="0" w:color="auto"/>
          </w:divBdr>
        </w:div>
      </w:divsChild>
    </w:div>
    <w:div w:id="1669674585">
      <w:bodyDiv w:val="1"/>
      <w:marLeft w:val="0"/>
      <w:marRight w:val="0"/>
      <w:marTop w:val="0"/>
      <w:marBottom w:val="0"/>
      <w:divBdr>
        <w:top w:val="none" w:sz="0" w:space="0" w:color="auto"/>
        <w:left w:val="none" w:sz="0" w:space="0" w:color="auto"/>
        <w:bottom w:val="none" w:sz="0" w:space="0" w:color="auto"/>
        <w:right w:val="none" w:sz="0" w:space="0" w:color="auto"/>
      </w:divBdr>
    </w:div>
    <w:div w:id="1747192267">
      <w:bodyDiv w:val="1"/>
      <w:marLeft w:val="0"/>
      <w:marRight w:val="0"/>
      <w:marTop w:val="0"/>
      <w:marBottom w:val="0"/>
      <w:divBdr>
        <w:top w:val="none" w:sz="0" w:space="0" w:color="auto"/>
        <w:left w:val="none" w:sz="0" w:space="0" w:color="auto"/>
        <w:bottom w:val="none" w:sz="0" w:space="0" w:color="auto"/>
        <w:right w:val="none" w:sz="0" w:space="0" w:color="auto"/>
      </w:divBdr>
      <w:divsChild>
        <w:div w:id="965161817">
          <w:marLeft w:val="0"/>
          <w:marRight w:val="0"/>
          <w:marTop w:val="0"/>
          <w:marBottom w:val="0"/>
          <w:divBdr>
            <w:top w:val="none" w:sz="0" w:space="0" w:color="auto"/>
            <w:left w:val="none" w:sz="0" w:space="0" w:color="auto"/>
            <w:bottom w:val="none" w:sz="0" w:space="0" w:color="auto"/>
            <w:right w:val="none" w:sz="0" w:space="0" w:color="auto"/>
          </w:divBdr>
          <w:divsChild>
            <w:div w:id="1051271812">
              <w:marLeft w:val="0"/>
              <w:marRight w:val="0"/>
              <w:marTop w:val="0"/>
              <w:marBottom w:val="0"/>
              <w:divBdr>
                <w:top w:val="single" w:sz="12" w:space="15" w:color="4B80B9"/>
                <w:left w:val="none" w:sz="0" w:space="0" w:color="auto"/>
                <w:bottom w:val="none" w:sz="0" w:space="0" w:color="auto"/>
                <w:right w:val="none" w:sz="0" w:space="0" w:color="auto"/>
              </w:divBdr>
            </w:div>
            <w:div w:id="1546601858">
              <w:marLeft w:val="0"/>
              <w:marRight w:val="0"/>
              <w:marTop w:val="0"/>
              <w:marBottom w:val="0"/>
              <w:divBdr>
                <w:top w:val="none" w:sz="0" w:space="0" w:color="auto"/>
                <w:left w:val="none" w:sz="0" w:space="0" w:color="auto"/>
                <w:bottom w:val="single" w:sz="12" w:space="15" w:color="4B80B9"/>
                <w:right w:val="none" w:sz="0" w:space="0" w:color="auto"/>
              </w:divBdr>
            </w:div>
          </w:divsChild>
        </w:div>
      </w:divsChild>
    </w:div>
    <w:div w:id="1773551450">
      <w:bodyDiv w:val="1"/>
      <w:marLeft w:val="0"/>
      <w:marRight w:val="0"/>
      <w:marTop w:val="0"/>
      <w:marBottom w:val="0"/>
      <w:divBdr>
        <w:top w:val="none" w:sz="0" w:space="0" w:color="auto"/>
        <w:left w:val="none" w:sz="0" w:space="0" w:color="auto"/>
        <w:bottom w:val="none" w:sz="0" w:space="0" w:color="auto"/>
        <w:right w:val="none" w:sz="0" w:space="0" w:color="auto"/>
      </w:divBdr>
      <w:divsChild>
        <w:div w:id="1587111388">
          <w:marLeft w:val="0"/>
          <w:marRight w:val="0"/>
          <w:marTop w:val="0"/>
          <w:marBottom w:val="0"/>
          <w:divBdr>
            <w:top w:val="none" w:sz="0" w:space="0" w:color="auto"/>
            <w:left w:val="none" w:sz="0" w:space="0" w:color="auto"/>
            <w:bottom w:val="none" w:sz="0" w:space="0" w:color="auto"/>
            <w:right w:val="none" w:sz="0" w:space="0" w:color="auto"/>
          </w:divBdr>
        </w:div>
        <w:div w:id="1372193271">
          <w:marLeft w:val="0"/>
          <w:marRight w:val="0"/>
          <w:marTop w:val="0"/>
          <w:marBottom w:val="0"/>
          <w:divBdr>
            <w:top w:val="none" w:sz="0" w:space="0" w:color="auto"/>
            <w:left w:val="none" w:sz="0" w:space="0" w:color="auto"/>
            <w:bottom w:val="none" w:sz="0" w:space="0" w:color="auto"/>
            <w:right w:val="none" w:sz="0" w:space="0" w:color="auto"/>
          </w:divBdr>
        </w:div>
      </w:divsChild>
    </w:div>
    <w:div w:id="1822313000">
      <w:bodyDiv w:val="1"/>
      <w:marLeft w:val="0"/>
      <w:marRight w:val="0"/>
      <w:marTop w:val="0"/>
      <w:marBottom w:val="0"/>
      <w:divBdr>
        <w:top w:val="none" w:sz="0" w:space="0" w:color="auto"/>
        <w:left w:val="none" w:sz="0" w:space="0" w:color="auto"/>
        <w:bottom w:val="none" w:sz="0" w:space="0" w:color="auto"/>
        <w:right w:val="none" w:sz="0" w:space="0" w:color="auto"/>
      </w:divBdr>
      <w:divsChild>
        <w:div w:id="1256863579">
          <w:marLeft w:val="0"/>
          <w:marRight w:val="0"/>
          <w:marTop w:val="0"/>
          <w:marBottom w:val="0"/>
          <w:divBdr>
            <w:top w:val="none" w:sz="0" w:space="0" w:color="auto"/>
            <w:left w:val="none" w:sz="0" w:space="0" w:color="auto"/>
            <w:bottom w:val="none" w:sz="0" w:space="0" w:color="auto"/>
            <w:right w:val="none" w:sz="0" w:space="0" w:color="auto"/>
          </w:divBdr>
        </w:div>
        <w:div w:id="1141537470">
          <w:marLeft w:val="0"/>
          <w:marRight w:val="0"/>
          <w:marTop w:val="0"/>
          <w:marBottom w:val="0"/>
          <w:divBdr>
            <w:top w:val="none" w:sz="0" w:space="0" w:color="auto"/>
            <w:left w:val="none" w:sz="0" w:space="0" w:color="auto"/>
            <w:bottom w:val="none" w:sz="0" w:space="0" w:color="auto"/>
            <w:right w:val="none" w:sz="0" w:space="0" w:color="auto"/>
          </w:divBdr>
        </w:div>
      </w:divsChild>
    </w:div>
    <w:div w:id="1824198690">
      <w:bodyDiv w:val="1"/>
      <w:marLeft w:val="0"/>
      <w:marRight w:val="0"/>
      <w:marTop w:val="0"/>
      <w:marBottom w:val="0"/>
      <w:divBdr>
        <w:top w:val="none" w:sz="0" w:space="0" w:color="auto"/>
        <w:left w:val="none" w:sz="0" w:space="0" w:color="auto"/>
        <w:bottom w:val="none" w:sz="0" w:space="0" w:color="auto"/>
        <w:right w:val="none" w:sz="0" w:space="0" w:color="auto"/>
      </w:divBdr>
      <w:divsChild>
        <w:div w:id="113402766">
          <w:marLeft w:val="0"/>
          <w:marRight w:val="0"/>
          <w:marTop w:val="0"/>
          <w:marBottom w:val="0"/>
          <w:divBdr>
            <w:top w:val="none" w:sz="0" w:space="0" w:color="auto"/>
            <w:left w:val="none" w:sz="0" w:space="0" w:color="auto"/>
            <w:bottom w:val="none" w:sz="0" w:space="0" w:color="auto"/>
            <w:right w:val="none" w:sz="0" w:space="0" w:color="auto"/>
          </w:divBdr>
          <w:divsChild>
            <w:div w:id="85078665">
              <w:marLeft w:val="0"/>
              <w:marRight w:val="0"/>
              <w:marTop w:val="0"/>
              <w:marBottom w:val="0"/>
              <w:divBdr>
                <w:top w:val="single" w:sz="12" w:space="15" w:color="DCDCDC"/>
                <w:left w:val="none" w:sz="0" w:space="0" w:color="auto"/>
                <w:bottom w:val="none" w:sz="0" w:space="0" w:color="auto"/>
                <w:right w:val="none" w:sz="0" w:space="0" w:color="auto"/>
              </w:divBdr>
            </w:div>
            <w:div w:id="783117950">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 w:id="1872569813">
      <w:bodyDiv w:val="1"/>
      <w:marLeft w:val="0"/>
      <w:marRight w:val="0"/>
      <w:marTop w:val="0"/>
      <w:marBottom w:val="0"/>
      <w:divBdr>
        <w:top w:val="none" w:sz="0" w:space="0" w:color="auto"/>
        <w:left w:val="none" w:sz="0" w:space="0" w:color="auto"/>
        <w:bottom w:val="none" w:sz="0" w:space="0" w:color="auto"/>
        <w:right w:val="none" w:sz="0" w:space="0" w:color="auto"/>
      </w:divBdr>
    </w:div>
    <w:div w:id="1907909467">
      <w:bodyDiv w:val="1"/>
      <w:marLeft w:val="0"/>
      <w:marRight w:val="0"/>
      <w:marTop w:val="0"/>
      <w:marBottom w:val="0"/>
      <w:divBdr>
        <w:top w:val="none" w:sz="0" w:space="0" w:color="auto"/>
        <w:left w:val="none" w:sz="0" w:space="0" w:color="auto"/>
        <w:bottom w:val="none" w:sz="0" w:space="0" w:color="auto"/>
        <w:right w:val="none" w:sz="0" w:space="0" w:color="auto"/>
      </w:divBdr>
    </w:div>
    <w:div w:id="2061401012">
      <w:bodyDiv w:val="1"/>
      <w:marLeft w:val="0"/>
      <w:marRight w:val="0"/>
      <w:marTop w:val="0"/>
      <w:marBottom w:val="0"/>
      <w:divBdr>
        <w:top w:val="none" w:sz="0" w:space="0" w:color="auto"/>
        <w:left w:val="none" w:sz="0" w:space="0" w:color="auto"/>
        <w:bottom w:val="none" w:sz="0" w:space="0" w:color="auto"/>
        <w:right w:val="none" w:sz="0" w:space="0" w:color="auto"/>
      </w:divBdr>
      <w:divsChild>
        <w:div w:id="1326128223">
          <w:marLeft w:val="0"/>
          <w:marRight w:val="0"/>
          <w:marTop w:val="0"/>
          <w:marBottom w:val="0"/>
          <w:divBdr>
            <w:top w:val="none" w:sz="0" w:space="0" w:color="auto"/>
            <w:left w:val="none" w:sz="0" w:space="0" w:color="auto"/>
            <w:bottom w:val="none" w:sz="0" w:space="0" w:color="auto"/>
            <w:right w:val="none" w:sz="0" w:space="0" w:color="auto"/>
          </w:divBdr>
          <w:divsChild>
            <w:div w:id="404574536">
              <w:marLeft w:val="0"/>
              <w:marRight w:val="0"/>
              <w:marTop w:val="0"/>
              <w:marBottom w:val="0"/>
              <w:divBdr>
                <w:top w:val="single" w:sz="12" w:space="15" w:color="DCDCDC"/>
                <w:left w:val="none" w:sz="0" w:space="0" w:color="auto"/>
                <w:bottom w:val="none" w:sz="0" w:space="0" w:color="auto"/>
                <w:right w:val="none" w:sz="0" w:space="0" w:color="auto"/>
              </w:divBdr>
            </w:div>
            <w:div w:id="813108090">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 w:id="2073233846">
      <w:bodyDiv w:val="1"/>
      <w:marLeft w:val="0"/>
      <w:marRight w:val="0"/>
      <w:marTop w:val="0"/>
      <w:marBottom w:val="0"/>
      <w:divBdr>
        <w:top w:val="none" w:sz="0" w:space="0" w:color="auto"/>
        <w:left w:val="none" w:sz="0" w:space="0" w:color="auto"/>
        <w:bottom w:val="none" w:sz="0" w:space="0" w:color="auto"/>
        <w:right w:val="none" w:sz="0" w:space="0" w:color="auto"/>
      </w:divBdr>
      <w:divsChild>
        <w:div w:id="1801191546">
          <w:marLeft w:val="0"/>
          <w:marRight w:val="0"/>
          <w:marTop w:val="0"/>
          <w:marBottom w:val="0"/>
          <w:divBdr>
            <w:top w:val="none" w:sz="0" w:space="0" w:color="auto"/>
            <w:left w:val="none" w:sz="0" w:space="0" w:color="auto"/>
            <w:bottom w:val="none" w:sz="0" w:space="0" w:color="auto"/>
            <w:right w:val="none" w:sz="0" w:space="0" w:color="auto"/>
          </w:divBdr>
        </w:div>
        <w:div w:id="1123109062">
          <w:marLeft w:val="0"/>
          <w:marRight w:val="0"/>
          <w:marTop w:val="0"/>
          <w:marBottom w:val="0"/>
          <w:divBdr>
            <w:top w:val="none" w:sz="0" w:space="0" w:color="auto"/>
            <w:left w:val="none" w:sz="0" w:space="0" w:color="auto"/>
            <w:bottom w:val="none" w:sz="0" w:space="0" w:color="auto"/>
            <w:right w:val="none" w:sz="0" w:space="0" w:color="auto"/>
          </w:divBdr>
        </w:div>
      </w:divsChild>
    </w:div>
    <w:div w:id="2091386309">
      <w:bodyDiv w:val="1"/>
      <w:marLeft w:val="0"/>
      <w:marRight w:val="0"/>
      <w:marTop w:val="0"/>
      <w:marBottom w:val="0"/>
      <w:divBdr>
        <w:top w:val="none" w:sz="0" w:space="0" w:color="auto"/>
        <w:left w:val="none" w:sz="0" w:space="0" w:color="auto"/>
        <w:bottom w:val="none" w:sz="0" w:space="0" w:color="auto"/>
        <w:right w:val="none" w:sz="0" w:space="0" w:color="auto"/>
      </w:divBdr>
    </w:div>
    <w:div w:id="2099018919">
      <w:bodyDiv w:val="1"/>
      <w:marLeft w:val="0"/>
      <w:marRight w:val="0"/>
      <w:marTop w:val="0"/>
      <w:marBottom w:val="0"/>
      <w:divBdr>
        <w:top w:val="none" w:sz="0" w:space="0" w:color="auto"/>
        <w:left w:val="none" w:sz="0" w:space="0" w:color="auto"/>
        <w:bottom w:val="none" w:sz="0" w:space="0" w:color="auto"/>
        <w:right w:val="none" w:sz="0" w:space="0" w:color="auto"/>
      </w:divBdr>
      <w:divsChild>
        <w:div w:id="1744990846">
          <w:marLeft w:val="0"/>
          <w:marRight w:val="0"/>
          <w:marTop w:val="0"/>
          <w:marBottom w:val="0"/>
          <w:divBdr>
            <w:top w:val="none" w:sz="0" w:space="0" w:color="auto"/>
            <w:left w:val="none" w:sz="0" w:space="0" w:color="auto"/>
            <w:bottom w:val="none" w:sz="0" w:space="0" w:color="auto"/>
            <w:right w:val="none" w:sz="0" w:space="0" w:color="auto"/>
          </w:divBdr>
          <w:divsChild>
            <w:div w:id="1508785100">
              <w:marLeft w:val="0"/>
              <w:marRight w:val="0"/>
              <w:marTop w:val="0"/>
              <w:marBottom w:val="0"/>
              <w:divBdr>
                <w:top w:val="single" w:sz="12" w:space="15" w:color="DCDCDC"/>
                <w:left w:val="none" w:sz="0" w:space="0" w:color="auto"/>
                <w:bottom w:val="none" w:sz="0" w:space="0" w:color="auto"/>
                <w:right w:val="none" w:sz="0" w:space="0" w:color="auto"/>
              </w:divBdr>
            </w:div>
            <w:div w:id="1649505911">
              <w:marLeft w:val="0"/>
              <w:marRight w:val="0"/>
              <w:marTop w:val="0"/>
              <w:marBottom w:val="0"/>
              <w:divBdr>
                <w:top w:val="none" w:sz="0" w:space="0" w:color="auto"/>
                <w:left w:val="none" w:sz="0" w:space="0" w:color="auto"/>
                <w:bottom w:val="single" w:sz="12" w:space="15" w:color="DCDCD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oec.world/en/profile/subnational_jpn/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ec.world/en/profile/subnational_jpn/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c.world/en/profile/hs92/petroleum-ga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ec.world/en/profile/hs92/refined-petrole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ec.world/en/profile/hs92/crude-petroleum" TargetMode="External"/><Relationship Id="rId14" Type="http://schemas.openxmlformats.org/officeDocument/2006/relationships/hyperlink" Target="https://oec.world/en/profile/subnational_jpn/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C:\Users\shuhrat.narbaev\Desktop\UAE-Japan%20Statist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b="1"/>
              <a:t>Japan's Export</a:t>
            </a:r>
            <a:r>
              <a:rPr lang="en-US" b="1" baseline="0"/>
              <a:t> &amp; Import with UAE </a:t>
            </a:r>
            <a:r>
              <a:rPr lang="en-US" sz="1100"/>
              <a:t>(in billion $)</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'[UAE-Japan Statistics.xlsx]JP-UAE'!$B$6</c:f>
              <c:strCache>
                <c:ptCount val="1"/>
                <c:pt idx="0">
                  <c:v>Export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'[UAE-Japan Statistics.xlsx]JP-UAE'!$C$4:$K$4</c:f>
              <c:numCache>
                <c:formatCode>General</c:formatCode>
                <c:ptCount val="9"/>
                <c:pt idx="0">
                  <c:v>2018</c:v>
                </c:pt>
                <c:pt idx="2">
                  <c:v>2019</c:v>
                </c:pt>
                <c:pt idx="4">
                  <c:v>2020</c:v>
                </c:pt>
                <c:pt idx="6">
                  <c:v>2021</c:v>
                </c:pt>
                <c:pt idx="8">
                  <c:v>2022</c:v>
                </c:pt>
              </c:numCache>
            </c:numRef>
          </c:cat>
          <c:val>
            <c:numRef>
              <c:f>'[UAE-Japan Statistics.xlsx]JP-UAE'!$C$6:$K$6</c:f>
              <c:numCache>
                <c:formatCode>General</c:formatCode>
                <c:ptCount val="9"/>
                <c:pt idx="0" formatCode="#,##0.0">
                  <c:v>7.9</c:v>
                </c:pt>
                <c:pt idx="2" formatCode="#,##0.0">
                  <c:v>7.2</c:v>
                </c:pt>
                <c:pt idx="4" formatCode="#,##0.0">
                  <c:v>5.5</c:v>
                </c:pt>
                <c:pt idx="6" formatCode="#,##0.0">
                  <c:v>7.5</c:v>
                </c:pt>
                <c:pt idx="8" formatCode="#,##0.0">
                  <c:v>8.5</c:v>
                </c:pt>
              </c:numCache>
            </c:numRef>
          </c:val>
          <c:extLst>
            <c:ext xmlns:c16="http://schemas.microsoft.com/office/drawing/2014/chart" uri="{C3380CC4-5D6E-409C-BE32-E72D297353CC}">
              <c16:uniqueId val="{00000000-B616-4224-B0D0-2192CB46BCFC}"/>
            </c:ext>
          </c:extLst>
        </c:ser>
        <c:ser>
          <c:idx val="3"/>
          <c:order val="3"/>
          <c:tx>
            <c:strRef>
              <c:f>'[UAE-Japan Statistics.xlsx]JP-UAE'!$B$8</c:f>
              <c:strCache>
                <c:ptCount val="1"/>
                <c:pt idx="0">
                  <c:v>Import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'[UAE-Japan Statistics.xlsx]JP-UAE'!$C$4:$K$4</c:f>
              <c:numCache>
                <c:formatCode>General</c:formatCode>
                <c:ptCount val="9"/>
                <c:pt idx="0">
                  <c:v>2018</c:v>
                </c:pt>
                <c:pt idx="2">
                  <c:v>2019</c:v>
                </c:pt>
                <c:pt idx="4">
                  <c:v>2020</c:v>
                </c:pt>
                <c:pt idx="6">
                  <c:v>2021</c:v>
                </c:pt>
                <c:pt idx="8">
                  <c:v>2022</c:v>
                </c:pt>
              </c:numCache>
            </c:numRef>
          </c:cat>
          <c:val>
            <c:numRef>
              <c:f>'[UAE-Japan Statistics.xlsx]JP-UAE'!$C$8:$K$8</c:f>
              <c:numCache>
                <c:formatCode>General</c:formatCode>
                <c:ptCount val="9"/>
                <c:pt idx="0" formatCode="#,##0.0">
                  <c:v>27.5</c:v>
                </c:pt>
                <c:pt idx="2" formatCode="#,##0.0">
                  <c:v>26.2</c:v>
                </c:pt>
                <c:pt idx="4" formatCode="#,##0.0">
                  <c:v>16.3</c:v>
                </c:pt>
                <c:pt idx="6" formatCode="#,##0.0">
                  <c:v>27.1</c:v>
                </c:pt>
                <c:pt idx="8" formatCode="#,##0.0">
                  <c:v>46</c:v>
                </c:pt>
              </c:numCache>
            </c:numRef>
          </c:val>
          <c:extLst>
            <c:ext xmlns:c16="http://schemas.microsoft.com/office/drawing/2014/chart" uri="{C3380CC4-5D6E-409C-BE32-E72D297353CC}">
              <c16:uniqueId val="{00000001-B616-4224-B0D0-2192CB46BCFC}"/>
            </c:ext>
          </c:extLst>
        </c:ser>
        <c:ser>
          <c:idx val="5"/>
          <c:order val="5"/>
          <c:tx>
            <c:strRef>
              <c:f>'[UAE-Japan Statistics.xlsx]JP-UAE'!$B$10</c:f>
              <c:strCache>
                <c:ptCount val="1"/>
                <c:pt idx="0">
                  <c:v>Trade balance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'[UAE-Japan Statistics.xlsx]JP-UAE'!$C$4:$K$4</c:f>
              <c:numCache>
                <c:formatCode>General</c:formatCode>
                <c:ptCount val="9"/>
                <c:pt idx="0">
                  <c:v>2018</c:v>
                </c:pt>
                <c:pt idx="2">
                  <c:v>2019</c:v>
                </c:pt>
                <c:pt idx="4">
                  <c:v>2020</c:v>
                </c:pt>
                <c:pt idx="6">
                  <c:v>2021</c:v>
                </c:pt>
                <c:pt idx="8">
                  <c:v>2022</c:v>
                </c:pt>
              </c:numCache>
            </c:numRef>
          </c:cat>
          <c:val>
            <c:numRef>
              <c:f>'[UAE-Japan Statistics.xlsx]JP-UAE'!$C$10:$K$10</c:f>
              <c:numCache>
                <c:formatCode>General</c:formatCode>
                <c:ptCount val="9"/>
                <c:pt idx="0" formatCode="#,##0.0">
                  <c:v>-19.600000000000001</c:v>
                </c:pt>
                <c:pt idx="2" formatCode="#,##0.0">
                  <c:v>-19</c:v>
                </c:pt>
                <c:pt idx="4" formatCode="#,##0.0">
                  <c:v>-10.8</c:v>
                </c:pt>
                <c:pt idx="6" formatCode="#,##0.0">
                  <c:v>-19.600000000000001</c:v>
                </c:pt>
                <c:pt idx="8" formatCode="#,##0.0">
                  <c:v>-37.5</c:v>
                </c:pt>
              </c:numCache>
            </c:numRef>
          </c:val>
          <c:extLst>
            <c:ext xmlns:c16="http://schemas.microsoft.com/office/drawing/2014/chart" uri="{C3380CC4-5D6E-409C-BE32-E72D297353CC}">
              <c16:uniqueId val="{00000002-B616-4224-B0D0-2192CB46BCFC}"/>
            </c:ext>
          </c:extLst>
        </c:ser>
        <c:ser>
          <c:idx val="6"/>
          <c:order val="6"/>
          <c:tx>
            <c:strRef>
              <c:f>'[UAE-Japan Statistics.xlsx]JP-UAE'!$B$11</c:f>
              <c:strCache>
                <c:ptCount val="1"/>
                <c:pt idx="0">
                  <c:v>Total trade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'[UAE-Japan Statistics.xlsx]JP-UAE'!$C$4:$K$4</c:f>
              <c:numCache>
                <c:formatCode>General</c:formatCode>
                <c:ptCount val="9"/>
                <c:pt idx="0">
                  <c:v>2018</c:v>
                </c:pt>
                <c:pt idx="2">
                  <c:v>2019</c:v>
                </c:pt>
                <c:pt idx="4">
                  <c:v>2020</c:v>
                </c:pt>
                <c:pt idx="6">
                  <c:v>2021</c:v>
                </c:pt>
                <c:pt idx="8">
                  <c:v>2022</c:v>
                </c:pt>
              </c:numCache>
            </c:numRef>
          </c:cat>
          <c:val>
            <c:numRef>
              <c:f>'[UAE-Japan Statistics.xlsx]JP-UAE'!$C$11:$K$11</c:f>
              <c:numCache>
                <c:formatCode>General</c:formatCode>
                <c:ptCount val="9"/>
                <c:pt idx="0" formatCode="#,##0.0">
                  <c:v>35.4</c:v>
                </c:pt>
                <c:pt idx="2" formatCode="#,##0.0">
                  <c:v>33.4</c:v>
                </c:pt>
                <c:pt idx="4" formatCode="#,##0.0">
                  <c:v>21.8</c:v>
                </c:pt>
                <c:pt idx="6" formatCode="#,##0.0">
                  <c:v>34.6</c:v>
                </c:pt>
                <c:pt idx="8" formatCode="#,##0.0">
                  <c:v>54.5</c:v>
                </c:pt>
              </c:numCache>
            </c:numRef>
          </c:val>
          <c:extLst>
            <c:ext xmlns:c16="http://schemas.microsoft.com/office/drawing/2014/chart" uri="{C3380CC4-5D6E-409C-BE32-E72D297353CC}">
              <c16:uniqueId val="{00000003-B616-4224-B0D0-2192CB46BCFC}"/>
            </c:ext>
          </c:extLst>
        </c:ser>
        <c:dLbls>
          <c:showLegendKey val="0"/>
          <c:showVal val="0"/>
          <c:showCatName val="0"/>
          <c:showSerName val="0"/>
          <c:showPercent val="0"/>
          <c:showBubbleSize val="0"/>
        </c:dLbls>
        <c:gapWidth val="219"/>
        <c:overlap val="-27"/>
        <c:axId val="225163119"/>
        <c:axId val="225167695"/>
        <c:extLst>
          <c:ext xmlns:c15="http://schemas.microsoft.com/office/drawing/2012/chart" uri="{02D57815-91ED-43cb-92C2-25804820EDAC}">
            <c15:filteredBarSeries>
              <c15:ser>
                <c:idx val="0"/>
                <c:order val="0"/>
                <c:tx>
                  <c:strRef>
                    <c:extLst>
                      <c:ext uri="{02D57815-91ED-43cb-92C2-25804820EDAC}">
                        <c15:formulaRef>
                          <c15:sqref>'[UAE-Japan Statistics.xlsx]JP-UAE'!$B$5</c15:sqref>
                        </c15:formulaRef>
                      </c:ext>
                    </c:extLst>
                    <c:strCache>
                      <c:ptCount val="1"/>
                    </c:strCache>
                  </c:strRef>
                </c:tx>
                <c:spPr>
                  <a:solidFill>
                    <a:schemeClr val="accent1"/>
                  </a:solidFill>
                  <a:ln>
                    <a:noFill/>
                  </a:ln>
                  <a:effectLst/>
                </c:spPr>
                <c:invertIfNegative val="0"/>
                <c:cat>
                  <c:numRef>
                    <c:extLst>
                      <c:ext uri="{02D57815-91ED-43cb-92C2-25804820EDAC}">
                        <c15:formulaRef>
                          <c15:sqref>'[UAE-Japan Statistics.xlsx]JP-UAE'!$C$4:$K$4</c15:sqref>
                        </c15:formulaRef>
                      </c:ext>
                    </c:extLst>
                    <c:numCache>
                      <c:formatCode>General</c:formatCode>
                      <c:ptCount val="9"/>
                      <c:pt idx="0">
                        <c:v>2018</c:v>
                      </c:pt>
                      <c:pt idx="2">
                        <c:v>2019</c:v>
                      </c:pt>
                      <c:pt idx="4">
                        <c:v>2020</c:v>
                      </c:pt>
                      <c:pt idx="6">
                        <c:v>2021</c:v>
                      </c:pt>
                      <c:pt idx="8">
                        <c:v>2022</c:v>
                      </c:pt>
                    </c:numCache>
                  </c:numRef>
                </c:cat>
                <c:val>
                  <c:numRef>
                    <c:extLst>
                      <c:ext uri="{02D57815-91ED-43cb-92C2-25804820EDAC}">
                        <c15:formulaRef>
                          <c15:sqref>'[UAE-Japan Statistics.xlsx]JP-UAE'!$C$5:$K$5</c15:sqref>
                        </c15:formulaRef>
                      </c:ext>
                    </c:extLst>
                    <c:numCache>
                      <c:formatCode>General</c:formatCode>
                      <c:ptCount val="9"/>
                    </c:numCache>
                  </c:numRef>
                </c:val>
                <c:extLst>
                  <c:ext xmlns:c16="http://schemas.microsoft.com/office/drawing/2014/chart" uri="{C3380CC4-5D6E-409C-BE32-E72D297353CC}">
                    <c16:uniqueId val="{00000004-B616-4224-B0D0-2192CB46BCF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'[UAE-Japan Statistics.xlsx]JP-UAE'!$B$7</c15:sqref>
                        </c15:formulaRef>
                      </c:ext>
                    </c:extLst>
                    <c:strCache>
                      <c:ptCount val="1"/>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'[UAE-Japan Statistics.xlsx]JP-UAE'!$C$4:$K$4</c15:sqref>
                        </c15:formulaRef>
                      </c:ext>
                    </c:extLst>
                    <c:numCache>
                      <c:formatCode>General</c:formatCode>
                      <c:ptCount val="9"/>
                      <c:pt idx="0">
                        <c:v>2018</c:v>
                      </c:pt>
                      <c:pt idx="2">
                        <c:v>2019</c:v>
                      </c:pt>
                      <c:pt idx="4">
                        <c:v>2020</c:v>
                      </c:pt>
                      <c:pt idx="6">
                        <c:v>2021</c:v>
                      </c:pt>
                      <c:pt idx="8">
                        <c:v>2022</c:v>
                      </c:pt>
                    </c:numCache>
                  </c:numRef>
                </c:cat>
                <c:val>
                  <c:numRef>
                    <c:extLst xmlns:c15="http://schemas.microsoft.com/office/drawing/2012/chart">
                      <c:ext xmlns:c15="http://schemas.microsoft.com/office/drawing/2012/chart" uri="{02D57815-91ED-43cb-92C2-25804820EDAC}">
                        <c15:formulaRef>
                          <c15:sqref>'[UAE-Japan Statistics.xlsx]JP-UAE'!$C$7:$K$7</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5-B616-4224-B0D0-2192CB46BCFC}"/>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'[UAE-Japan Statistics.xlsx]JP-UAE'!$B$9</c15:sqref>
                        </c15:formulaRef>
                      </c:ext>
                    </c:extLst>
                    <c:strCache>
                      <c:ptCount val="1"/>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'[UAE-Japan Statistics.xlsx]JP-UAE'!$C$4:$K$4</c15:sqref>
                        </c15:formulaRef>
                      </c:ext>
                    </c:extLst>
                    <c:numCache>
                      <c:formatCode>General</c:formatCode>
                      <c:ptCount val="9"/>
                      <c:pt idx="0">
                        <c:v>2018</c:v>
                      </c:pt>
                      <c:pt idx="2">
                        <c:v>2019</c:v>
                      </c:pt>
                      <c:pt idx="4">
                        <c:v>2020</c:v>
                      </c:pt>
                      <c:pt idx="6">
                        <c:v>2021</c:v>
                      </c:pt>
                      <c:pt idx="8">
                        <c:v>2022</c:v>
                      </c:pt>
                    </c:numCache>
                  </c:numRef>
                </c:cat>
                <c:val>
                  <c:numRef>
                    <c:extLst xmlns:c15="http://schemas.microsoft.com/office/drawing/2012/chart">
                      <c:ext xmlns:c15="http://schemas.microsoft.com/office/drawing/2012/chart" uri="{02D57815-91ED-43cb-92C2-25804820EDAC}">
                        <c15:formulaRef>
                          <c15:sqref>'[UAE-Japan Statistics.xlsx]JP-UAE'!$C$9:$K$9</c15:sqref>
                        </c15:formulaRef>
                      </c:ext>
                    </c:extLst>
                    <c:numCache>
                      <c:formatCode>General</c:formatCode>
                      <c:ptCount val="9"/>
                    </c:numCache>
                  </c:numRef>
                </c:val>
                <c:extLst xmlns:c15="http://schemas.microsoft.com/office/drawing/2012/chart">
                  <c:ext xmlns:c16="http://schemas.microsoft.com/office/drawing/2014/chart" uri="{C3380CC4-5D6E-409C-BE32-E72D297353CC}">
                    <c16:uniqueId val="{00000006-B616-4224-B0D0-2192CB46BCFC}"/>
                  </c:ext>
                </c:extLst>
              </c15:ser>
            </c15:filteredBarSeries>
          </c:ext>
        </c:extLst>
      </c:barChart>
      <c:catAx>
        <c:axId val="225163119"/>
        <c:scaling>
          <c:orientation val="minMax"/>
        </c:scaling>
        <c:delete val="0"/>
        <c:axPos val="b"/>
        <c:numFmt formatCode="General" sourceLinked="1"/>
        <c:majorTickMark val="none"/>
        <c:minorTickMark val="none"/>
        <c:tickLblPos val="nextTo"/>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25167695"/>
        <c:crosses val="autoZero"/>
        <c:auto val="1"/>
        <c:lblAlgn val="ctr"/>
        <c:lblOffset val="100"/>
        <c:noMultiLvlLbl val="0"/>
      </c:catAx>
      <c:valAx>
        <c:axId val="2251676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25163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9AF3-5E5A-4C26-9F0B-BB91589B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秀都</dc:creator>
  <cp:keywords/>
  <dc:description/>
  <cp:lastModifiedBy>Embassy Tokyo Shuhrat Narbaev</cp:lastModifiedBy>
  <cp:revision>1388</cp:revision>
  <cp:lastPrinted>2022-02-04T02:39:00Z</cp:lastPrinted>
  <dcterms:created xsi:type="dcterms:W3CDTF">2021-11-29T00:37:00Z</dcterms:created>
  <dcterms:modified xsi:type="dcterms:W3CDTF">2023-01-20T05:55:00Z</dcterms:modified>
</cp:coreProperties>
</file>